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AED01">
      <w:pPr>
        <w:shd w:val="clear" w:color="auto" w:fill="auto"/>
        <w:autoSpaceDE w:val="0"/>
        <w:autoSpaceDN w:val="0"/>
        <w:spacing w:line="500" w:lineRule="atLeast"/>
        <w:jc w:val="center"/>
        <w:textAlignment w:val="bottom"/>
        <w:rPr>
          <w:rFonts w:hint="eastAsia" w:ascii="宋体" w:hAnsi="宋体" w:eastAsia="宋体" w:cs="宋体"/>
          <w:b/>
          <w:bCs/>
          <w:color w:val="auto"/>
          <w:spacing w:val="120"/>
          <w:sz w:val="72"/>
          <w:szCs w:val="72"/>
          <w:highlight w:val="none"/>
        </w:rPr>
      </w:pPr>
    </w:p>
    <w:p w14:paraId="390D9B30">
      <w:pPr>
        <w:shd w:val="clear" w:color="auto" w:fill="auto"/>
        <w:autoSpaceDE w:val="0"/>
        <w:autoSpaceDN w:val="0"/>
        <w:spacing w:line="500" w:lineRule="atLeast"/>
        <w:jc w:val="distribute"/>
        <w:textAlignment w:val="bottom"/>
        <w:rPr>
          <w:rFonts w:hint="eastAsia" w:ascii="宋体" w:hAnsi="宋体" w:eastAsia="宋体" w:cs="宋体"/>
          <w:b/>
          <w:bCs/>
          <w:color w:val="auto"/>
          <w:sz w:val="84"/>
          <w:szCs w:val="84"/>
          <w:highlight w:val="none"/>
        </w:rPr>
      </w:pPr>
      <w:r>
        <w:rPr>
          <w:rFonts w:hint="eastAsia" w:ascii="宋体" w:hAnsi="宋体" w:eastAsia="宋体" w:cs="宋体"/>
          <w:b/>
          <w:bCs/>
          <w:color w:val="auto"/>
          <w:spacing w:val="120"/>
          <w:sz w:val="84"/>
          <w:szCs w:val="84"/>
          <w:highlight w:val="none"/>
        </w:rPr>
        <w:t>温州市国有企业</w:t>
      </w:r>
    </w:p>
    <w:p w14:paraId="4879B435">
      <w:pPr>
        <w:shd w:val="clear" w:color="auto" w:fill="auto"/>
        <w:spacing w:line="400" w:lineRule="atLeast"/>
        <w:jc w:val="center"/>
        <w:rPr>
          <w:rFonts w:hint="eastAsia" w:ascii="宋体" w:hAnsi="宋体" w:eastAsia="宋体" w:cs="宋体"/>
          <w:b/>
          <w:bCs/>
          <w:color w:val="auto"/>
          <w:sz w:val="52"/>
          <w:highlight w:val="none"/>
        </w:rPr>
      </w:pPr>
    </w:p>
    <w:p w14:paraId="7007217A">
      <w:pPr>
        <w:shd w:val="clear" w:color="auto" w:fill="auto"/>
        <w:tabs>
          <w:tab w:val="left" w:pos="6435"/>
        </w:tabs>
        <w:spacing w:line="400" w:lineRule="atLeast"/>
        <w:jc w:val="left"/>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ab/>
      </w:r>
    </w:p>
    <w:p w14:paraId="0CD3ED8C">
      <w:pPr>
        <w:shd w:val="clear" w:color="auto" w:fill="auto"/>
        <w:spacing w:line="400" w:lineRule="atLeast"/>
        <w:jc w:val="center"/>
        <w:rPr>
          <w:rFonts w:hint="eastAsia" w:ascii="宋体" w:hAnsi="宋体" w:eastAsia="宋体" w:cs="宋体"/>
          <w:b/>
          <w:bCs/>
          <w:color w:val="auto"/>
          <w:sz w:val="52"/>
          <w:highlight w:val="none"/>
        </w:rPr>
      </w:pPr>
      <w:bookmarkStart w:id="195" w:name="_GoBack"/>
      <w:bookmarkEnd w:id="195"/>
    </w:p>
    <w:p w14:paraId="3E390608">
      <w:pPr>
        <w:shd w:val="clear" w:color="auto" w:fill="auto"/>
        <w:autoSpaceDE w:val="0"/>
        <w:autoSpaceDN w:val="0"/>
        <w:spacing w:line="500" w:lineRule="atLeast"/>
        <w:jc w:val="center"/>
        <w:textAlignment w:val="bottom"/>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采 购 文 件</w:t>
      </w:r>
    </w:p>
    <w:p w14:paraId="47DD0E19">
      <w:pPr>
        <w:shd w:val="clear" w:color="auto" w:fill="auto"/>
        <w:spacing w:line="400" w:lineRule="atLeast"/>
        <w:jc w:val="center"/>
        <w:rPr>
          <w:rFonts w:hint="eastAsia" w:ascii="宋体" w:hAnsi="宋体" w:eastAsia="宋体" w:cs="宋体"/>
          <w:b/>
          <w:bCs/>
          <w:color w:val="auto"/>
          <w:sz w:val="32"/>
          <w:highlight w:val="none"/>
        </w:rPr>
      </w:pPr>
    </w:p>
    <w:p w14:paraId="4FC8BAE6">
      <w:pPr>
        <w:shd w:val="clear" w:color="auto" w:fill="auto"/>
        <w:jc w:val="center"/>
        <w:rPr>
          <w:rFonts w:hint="eastAsia" w:ascii="宋体" w:hAnsi="宋体" w:eastAsia="宋体" w:cs="宋体"/>
          <w:b/>
          <w:bCs/>
          <w:color w:val="auto"/>
          <w:sz w:val="24"/>
          <w:highlight w:val="none"/>
        </w:rPr>
      </w:pPr>
    </w:p>
    <w:p w14:paraId="562608FF">
      <w:pPr>
        <w:shd w:val="clear" w:color="auto" w:fill="auto"/>
        <w:jc w:val="center"/>
        <w:rPr>
          <w:rFonts w:hint="eastAsia" w:ascii="宋体" w:hAnsi="宋体" w:eastAsia="宋体" w:cs="宋体"/>
          <w:b/>
          <w:bCs/>
          <w:color w:val="auto"/>
          <w:sz w:val="24"/>
          <w:highlight w:val="none"/>
        </w:rPr>
      </w:pPr>
    </w:p>
    <w:p w14:paraId="08F75DEA">
      <w:pPr>
        <w:shd w:val="clear" w:color="auto" w:fill="auto"/>
        <w:jc w:val="center"/>
        <w:rPr>
          <w:rFonts w:hint="eastAsia" w:ascii="宋体" w:hAnsi="宋体" w:eastAsia="宋体" w:cs="宋体"/>
          <w:b/>
          <w:bCs/>
          <w:color w:val="auto"/>
          <w:sz w:val="24"/>
          <w:highlight w:val="none"/>
        </w:rPr>
      </w:pPr>
    </w:p>
    <w:p w14:paraId="1CF0E834">
      <w:pPr>
        <w:shd w:val="clear" w:color="auto" w:fill="auto"/>
        <w:jc w:val="center"/>
        <w:rPr>
          <w:rFonts w:hint="eastAsia" w:ascii="宋体" w:hAnsi="宋体" w:eastAsia="宋体" w:cs="宋体"/>
          <w:b/>
          <w:bCs/>
          <w:color w:val="auto"/>
          <w:sz w:val="24"/>
          <w:highlight w:val="none"/>
        </w:rPr>
      </w:pPr>
    </w:p>
    <w:p w14:paraId="35EA48B6">
      <w:pPr>
        <w:shd w:val="clear" w:color="auto" w:fill="auto"/>
        <w:tabs>
          <w:tab w:val="left" w:pos="1276"/>
          <w:tab w:val="left" w:pos="2977"/>
        </w:tabs>
        <w:spacing w:line="600" w:lineRule="exact"/>
        <w:ind w:left="2268" w:leftChars="1080" w:right="-1" w:firstLine="301" w:firstLineChars="100"/>
        <w:jc w:val="left"/>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项目编号</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t>：</w:t>
      </w:r>
      <w:r>
        <w:rPr>
          <w:rFonts w:hint="eastAsia" w:ascii="宋体" w:hAnsi="宋体" w:cs="宋体"/>
          <w:b/>
          <w:bCs/>
          <w:color w:val="auto"/>
          <w:sz w:val="30"/>
          <w:szCs w:val="30"/>
          <w:highlight w:val="none"/>
          <w:lang w:eastAsia="zh-CN"/>
        </w:rPr>
        <w:t>WGSS-JYJT-Z-2025032</w:t>
      </w:r>
    </w:p>
    <w:p w14:paraId="26285878">
      <w:pPr>
        <w:shd w:val="clear" w:color="auto" w:fill="auto"/>
        <w:tabs>
          <w:tab w:val="left" w:pos="1276"/>
          <w:tab w:val="left" w:pos="2977"/>
        </w:tabs>
        <w:spacing w:line="600" w:lineRule="exact"/>
        <w:ind w:left="2268" w:leftChars="1080" w:right="-1" w:firstLine="301" w:firstLineChars="100"/>
        <w:jc w:val="left"/>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项目名称：</w:t>
      </w:r>
      <w:r>
        <w:rPr>
          <w:rFonts w:hint="eastAsia" w:ascii="宋体" w:hAnsi="宋体" w:cs="宋体"/>
          <w:b/>
          <w:bCs/>
          <w:color w:val="auto"/>
          <w:sz w:val="30"/>
          <w:szCs w:val="30"/>
          <w:highlight w:val="none"/>
          <w:lang w:eastAsia="zh-CN"/>
        </w:rPr>
        <w:t>气象预警服务平台项目研发</w:t>
      </w:r>
    </w:p>
    <w:p w14:paraId="6C2D338B">
      <w:pPr>
        <w:shd w:val="clear" w:color="auto" w:fill="auto"/>
        <w:tabs>
          <w:tab w:val="left" w:pos="1276"/>
          <w:tab w:val="left" w:pos="4860"/>
        </w:tabs>
        <w:spacing w:line="600" w:lineRule="exact"/>
        <w:ind w:left="2268" w:leftChars="1080" w:right="-1" w:firstLine="301" w:firstLineChars="100"/>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采购方式：公开招标</w:t>
      </w:r>
    </w:p>
    <w:p w14:paraId="13EAFAB5">
      <w:pPr>
        <w:shd w:val="clear" w:color="auto" w:fill="auto"/>
        <w:jc w:val="left"/>
        <w:rPr>
          <w:rFonts w:hint="eastAsia" w:ascii="宋体" w:hAnsi="宋体" w:eastAsia="宋体" w:cs="宋体"/>
          <w:b/>
          <w:bCs/>
          <w:color w:val="auto"/>
          <w:sz w:val="30"/>
          <w:szCs w:val="30"/>
          <w:highlight w:val="none"/>
        </w:rPr>
      </w:pPr>
    </w:p>
    <w:p w14:paraId="355FF97E">
      <w:pPr>
        <w:shd w:val="clear" w:color="auto" w:fill="auto"/>
        <w:jc w:val="left"/>
        <w:rPr>
          <w:rFonts w:hint="eastAsia" w:ascii="宋体" w:hAnsi="宋体" w:eastAsia="宋体" w:cs="宋体"/>
          <w:b/>
          <w:bCs/>
          <w:color w:val="auto"/>
          <w:sz w:val="30"/>
          <w:szCs w:val="30"/>
          <w:highlight w:val="none"/>
        </w:rPr>
      </w:pPr>
    </w:p>
    <w:p w14:paraId="75F192D4">
      <w:pPr>
        <w:shd w:val="clear" w:color="auto" w:fill="auto"/>
        <w:jc w:val="left"/>
        <w:rPr>
          <w:rFonts w:hint="eastAsia" w:ascii="宋体" w:hAnsi="宋体" w:eastAsia="宋体" w:cs="宋体"/>
          <w:b/>
          <w:bCs/>
          <w:color w:val="auto"/>
          <w:sz w:val="30"/>
          <w:szCs w:val="30"/>
          <w:highlight w:val="none"/>
        </w:rPr>
      </w:pPr>
    </w:p>
    <w:p w14:paraId="3A9DAED4">
      <w:pPr>
        <w:shd w:val="clear" w:color="auto" w:fill="auto"/>
        <w:jc w:val="center"/>
        <w:rPr>
          <w:rFonts w:hint="eastAsia" w:ascii="宋体" w:hAnsi="宋体" w:eastAsia="宋体" w:cs="宋体"/>
          <w:b/>
          <w:bCs/>
          <w:color w:val="auto"/>
          <w:sz w:val="30"/>
          <w:szCs w:val="30"/>
          <w:highlight w:val="none"/>
        </w:rPr>
      </w:pPr>
    </w:p>
    <w:p w14:paraId="281C64B3">
      <w:pPr>
        <w:shd w:val="clear" w:color="auto" w:fill="auto"/>
        <w:jc w:val="center"/>
        <w:rPr>
          <w:rFonts w:hint="eastAsia" w:ascii="宋体" w:hAnsi="宋体" w:eastAsia="宋体" w:cs="宋体"/>
          <w:b/>
          <w:bCs/>
          <w:color w:val="auto"/>
          <w:sz w:val="30"/>
          <w:szCs w:val="30"/>
          <w:highlight w:val="none"/>
        </w:rPr>
      </w:pPr>
    </w:p>
    <w:p w14:paraId="238129BF">
      <w:pPr>
        <w:shd w:val="clear" w:color="auto" w:fill="auto"/>
        <w:spacing w:line="600" w:lineRule="exact"/>
        <w:rPr>
          <w:rFonts w:hint="eastAsia" w:ascii="宋体" w:hAnsi="宋体" w:eastAsia="宋体" w:cs="宋体"/>
          <w:b/>
          <w:bCs/>
          <w:color w:val="auto"/>
          <w:sz w:val="30"/>
          <w:szCs w:val="30"/>
          <w:highlight w:val="none"/>
        </w:rPr>
      </w:pPr>
    </w:p>
    <w:p w14:paraId="19CED157">
      <w:pPr>
        <w:shd w:val="clear" w:color="auto" w:fill="auto"/>
        <w:spacing w:line="600" w:lineRule="exact"/>
        <w:ind w:firstLine="2141" w:firstLineChars="711"/>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采购人：</w:t>
      </w:r>
      <w:r>
        <w:rPr>
          <w:rFonts w:hint="eastAsia" w:ascii="宋体" w:hAnsi="宋体" w:cs="宋体"/>
          <w:b/>
          <w:bCs/>
          <w:color w:val="auto"/>
          <w:sz w:val="30"/>
          <w:szCs w:val="30"/>
          <w:highlight w:val="none"/>
          <w:lang w:eastAsia="zh-CN"/>
        </w:rPr>
        <w:t>温州交运集团泰顺有限公司</w:t>
      </w:r>
    </w:p>
    <w:p w14:paraId="2A6F122C">
      <w:pPr>
        <w:shd w:val="clear" w:color="auto" w:fill="auto"/>
        <w:spacing w:line="600" w:lineRule="exact"/>
        <w:ind w:firstLine="2141" w:firstLineChars="711"/>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采购代理机构：</w:t>
      </w:r>
      <w:r>
        <w:rPr>
          <w:rFonts w:hint="eastAsia" w:ascii="宋体" w:hAnsi="宋体" w:eastAsia="宋体" w:cs="宋体"/>
          <w:b/>
          <w:bCs/>
          <w:color w:val="auto"/>
          <w:sz w:val="30"/>
          <w:szCs w:val="30"/>
          <w:highlight w:val="none"/>
          <w:lang w:eastAsia="zh-CN"/>
        </w:rPr>
        <w:t>浙江林鸥工程管理有限公司</w:t>
      </w:r>
    </w:p>
    <w:p w14:paraId="7C8035A7">
      <w:pPr>
        <w:shd w:val="clear" w:color="auto" w:fill="auto"/>
        <w:spacing w:line="600" w:lineRule="exact"/>
        <w:ind w:firstLine="1437" w:firstLineChars="377"/>
        <w:jc w:val="center"/>
        <w:rPr>
          <w:rFonts w:hint="eastAsia" w:ascii="宋体" w:hAnsi="宋体" w:eastAsia="宋体" w:cs="宋体"/>
          <w:b/>
          <w:bCs/>
          <w:color w:val="auto"/>
          <w:spacing w:val="40"/>
          <w:sz w:val="30"/>
          <w:szCs w:val="30"/>
          <w:highlight w:val="none"/>
        </w:rPr>
      </w:pPr>
    </w:p>
    <w:p w14:paraId="05D33F92">
      <w:pPr>
        <w:shd w:val="clear" w:color="auto" w:fill="auto"/>
        <w:spacing w:line="600" w:lineRule="exact"/>
        <w:jc w:val="center"/>
        <w:rPr>
          <w:rFonts w:hint="eastAsia" w:ascii="宋体" w:hAnsi="宋体" w:eastAsia="宋体" w:cs="宋体"/>
          <w:b/>
          <w:bCs/>
          <w:color w:val="auto"/>
          <w:spacing w:val="20"/>
          <w:sz w:val="30"/>
          <w:szCs w:val="30"/>
          <w:highlight w:val="none"/>
        </w:rPr>
      </w:pPr>
      <w:r>
        <w:rPr>
          <w:rFonts w:hint="eastAsia" w:ascii="宋体" w:hAnsi="宋体" w:eastAsia="宋体" w:cs="宋体"/>
          <w:b/>
          <w:bCs/>
          <w:color w:val="auto"/>
          <w:spacing w:val="20"/>
          <w:sz w:val="30"/>
          <w:szCs w:val="30"/>
          <w:highlight w:val="none"/>
        </w:rPr>
        <w:t>二〇二</w:t>
      </w:r>
      <w:r>
        <w:rPr>
          <w:rFonts w:hint="eastAsia" w:ascii="宋体" w:hAnsi="宋体" w:cs="宋体"/>
          <w:b/>
          <w:bCs/>
          <w:color w:val="auto"/>
          <w:spacing w:val="20"/>
          <w:sz w:val="30"/>
          <w:szCs w:val="30"/>
          <w:highlight w:val="none"/>
          <w:lang w:val="en-US" w:eastAsia="zh-CN"/>
        </w:rPr>
        <w:t>五</w:t>
      </w:r>
      <w:r>
        <w:rPr>
          <w:rFonts w:hint="eastAsia" w:ascii="宋体" w:hAnsi="宋体" w:eastAsia="宋体" w:cs="宋体"/>
          <w:b/>
          <w:bCs/>
          <w:color w:val="auto"/>
          <w:spacing w:val="20"/>
          <w:sz w:val="30"/>
          <w:szCs w:val="30"/>
          <w:highlight w:val="none"/>
        </w:rPr>
        <w:t>年</w:t>
      </w:r>
      <w:r>
        <w:rPr>
          <w:rFonts w:hint="eastAsia" w:ascii="宋体" w:hAnsi="宋体" w:cs="宋体"/>
          <w:b/>
          <w:bCs/>
          <w:color w:val="auto"/>
          <w:spacing w:val="20"/>
          <w:sz w:val="30"/>
          <w:szCs w:val="30"/>
          <w:highlight w:val="none"/>
          <w:lang w:val="en-US" w:eastAsia="zh-CN"/>
        </w:rPr>
        <w:t>七</w:t>
      </w:r>
      <w:r>
        <w:rPr>
          <w:rFonts w:hint="eastAsia" w:ascii="宋体" w:hAnsi="宋体" w:eastAsia="宋体" w:cs="宋体"/>
          <w:b/>
          <w:bCs/>
          <w:color w:val="auto"/>
          <w:spacing w:val="20"/>
          <w:sz w:val="30"/>
          <w:szCs w:val="30"/>
          <w:highlight w:val="none"/>
        </w:rPr>
        <w:t>月</w:t>
      </w:r>
    </w:p>
    <w:p w14:paraId="47253CCC">
      <w:pPr>
        <w:shd w:val="clear" w:color="auto" w:fill="auto"/>
        <w:spacing w:line="600" w:lineRule="exact"/>
        <w:jc w:val="center"/>
        <w:rPr>
          <w:rFonts w:hint="eastAsia" w:ascii="宋体" w:hAnsi="宋体" w:eastAsia="宋体" w:cs="宋体"/>
          <w:b/>
          <w:bCs/>
          <w:color w:val="auto"/>
          <w:sz w:val="32"/>
          <w:szCs w:val="32"/>
          <w:highlight w:val="none"/>
        </w:rPr>
        <w:sectPr>
          <w:headerReference r:id="rId3" w:type="default"/>
          <w:pgSz w:w="11906" w:h="16838"/>
          <w:pgMar w:top="1134" w:right="1134" w:bottom="1134" w:left="1134" w:header="680" w:footer="680" w:gutter="0"/>
          <w:pgNumType w:start="0"/>
          <w:cols w:space="0" w:num="1"/>
          <w:titlePg/>
          <w:rtlGutter w:val="0"/>
          <w:docGrid w:linePitch="312" w:charSpace="0"/>
        </w:sectPr>
      </w:pPr>
    </w:p>
    <w:p w14:paraId="6406BCD7">
      <w:pPr>
        <w:shd w:val="clear" w:color="auto" w:fill="auto"/>
        <w:spacing w:line="6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    录</w:t>
      </w:r>
    </w:p>
    <w:p w14:paraId="1E807DF2">
      <w:pPr>
        <w:shd w:val="clear" w:color="auto" w:fill="auto"/>
        <w:spacing w:line="600" w:lineRule="exact"/>
        <w:jc w:val="center"/>
        <w:rPr>
          <w:rFonts w:hint="eastAsia" w:ascii="宋体" w:hAnsi="宋体" w:eastAsia="宋体" w:cs="宋体"/>
          <w:b/>
          <w:bCs/>
          <w:color w:val="auto"/>
          <w:sz w:val="24"/>
          <w:highlight w:val="none"/>
        </w:rPr>
      </w:pPr>
    </w:p>
    <w:p w14:paraId="6912BB3E">
      <w:pPr>
        <w:pStyle w:val="23"/>
        <w:tabs>
          <w:tab w:val="right" w:leader="dot" w:pos="10150"/>
          <w:tab w:val="clear" w:pos="9628"/>
        </w:tabs>
        <w:rPr>
          <w:color w:val="auto"/>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TOC \o "1-3" \h \z \u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Cs w:val="22"/>
          <w:highlight w:val="none"/>
        </w:rPr>
        <w:fldChar w:fldCharType="begin"/>
      </w:r>
      <w:r>
        <w:rPr>
          <w:rFonts w:hint="eastAsia" w:ascii="宋体" w:hAnsi="宋体" w:eastAsia="宋体" w:cs="宋体"/>
          <w:color w:val="auto"/>
          <w:szCs w:val="22"/>
          <w:highlight w:val="none"/>
        </w:rPr>
        <w:instrText xml:space="preserve"> HYPERLINK \l _Toc15580 </w:instrText>
      </w:r>
      <w:r>
        <w:rPr>
          <w:rFonts w:hint="eastAsia" w:ascii="宋体" w:hAnsi="宋体" w:eastAsia="宋体" w:cs="宋体"/>
          <w:color w:val="auto"/>
          <w:szCs w:val="22"/>
          <w:highlight w:val="none"/>
        </w:rPr>
        <w:fldChar w:fldCharType="separate"/>
      </w:r>
      <w:r>
        <w:rPr>
          <w:rFonts w:hint="eastAsia" w:asciiTheme="minorEastAsia" w:hAnsiTheme="minorEastAsia" w:eastAsiaTheme="minorEastAsia" w:cstheme="minorEastAsia"/>
          <w:color w:val="auto"/>
          <w:kern w:val="44"/>
          <w:szCs w:val="32"/>
          <w:highlight w:val="none"/>
          <w:lang w:bidi="ar-SA"/>
        </w:rPr>
        <w:t>采购公告</w:t>
      </w:r>
      <w:r>
        <w:rPr>
          <w:color w:val="auto"/>
          <w:highlight w:val="none"/>
        </w:rPr>
        <w:tab/>
      </w:r>
      <w:r>
        <w:rPr>
          <w:color w:val="auto"/>
          <w:highlight w:val="none"/>
        </w:rPr>
        <w:fldChar w:fldCharType="begin"/>
      </w:r>
      <w:r>
        <w:rPr>
          <w:color w:val="auto"/>
          <w:highlight w:val="none"/>
        </w:rPr>
        <w:instrText xml:space="preserve"> PAGEREF _Toc15580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22"/>
          <w:highlight w:val="none"/>
        </w:rPr>
        <w:fldChar w:fldCharType="end"/>
      </w:r>
    </w:p>
    <w:p w14:paraId="6988F9CD">
      <w:pPr>
        <w:pStyle w:val="23"/>
        <w:tabs>
          <w:tab w:val="right" w:leader="dot" w:pos="10150"/>
          <w:tab w:val="clear" w:pos="9628"/>
        </w:tabs>
        <w:rPr>
          <w:color w:val="auto"/>
          <w:highlight w:val="none"/>
        </w:rPr>
      </w:pPr>
      <w:r>
        <w:rPr>
          <w:rFonts w:hint="eastAsia" w:ascii="宋体" w:hAnsi="宋体" w:eastAsia="宋体" w:cs="宋体"/>
          <w:bCs/>
          <w:color w:val="auto"/>
          <w:szCs w:val="22"/>
          <w:highlight w:val="none"/>
        </w:rPr>
        <w:fldChar w:fldCharType="begin"/>
      </w:r>
      <w:r>
        <w:rPr>
          <w:rFonts w:hint="eastAsia" w:ascii="宋体" w:hAnsi="宋体" w:eastAsia="宋体" w:cs="宋体"/>
          <w:bCs/>
          <w:color w:val="auto"/>
          <w:szCs w:val="22"/>
          <w:highlight w:val="none"/>
        </w:rPr>
        <w:instrText xml:space="preserve"> HYPERLINK \l _Toc15093 </w:instrText>
      </w:r>
      <w:r>
        <w:rPr>
          <w:rFonts w:hint="eastAsia" w:ascii="宋体" w:hAnsi="宋体" w:eastAsia="宋体" w:cs="宋体"/>
          <w:bCs/>
          <w:color w:val="auto"/>
          <w:szCs w:val="22"/>
          <w:highlight w:val="none"/>
        </w:rPr>
        <w:fldChar w:fldCharType="separate"/>
      </w:r>
      <w:r>
        <w:rPr>
          <w:rFonts w:hint="eastAsia" w:ascii="宋体" w:hAnsi="宋体" w:eastAsia="宋体" w:cs="宋体"/>
          <w:color w:val="auto"/>
          <w:szCs w:val="36"/>
          <w:highlight w:val="none"/>
        </w:rPr>
        <w:t>第一部分   投标人须知</w:t>
      </w:r>
      <w:r>
        <w:rPr>
          <w:color w:val="auto"/>
          <w:highlight w:val="none"/>
        </w:rPr>
        <w:tab/>
      </w:r>
      <w:r>
        <w:rPr>
          <w:color w:val="auto"/>
          <w:highlight w:val="none"/>
        </w:rPr>
        <w:fldChar w:fldCharType="begin"/>
      </w:r>
      <w:r>
        <w:rPr>
          <w:color w:val="auto"/>
          <w:highlight w:val="none"/>
        </w:rPr>
        <w:instrText xml:space="preserve"> PAGEREF _Toc15093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eastAsia="宋体" w:cs="宋体"/>
          <w:bCs/>
          <w:color w:val="auto"/>
          <w:szCs w:val="22"/>
          <w:highlight w:val="none"/>
        </w:rPr>
        <w:fldChar w:fldCharType="end"/>
      </w:r>
    </w:p>
    <w:p w14:paraId="1F540BBD">
      <w:pPr>
        <w:pStyle w:val="23"/>
        <w:tabs>
          <w:tab w:val="right" w:leader="dot" w:pos="10150"/>
          <w:tab w:val="clear" w:pos="9628"/>
        </w:tabs>
        <w:rPr>
          <w:color w:val="auto"/>
          <w:highlight w:val="none"/>
        </w:rPr>
      </w:pPr>
      <w:r>
        <w:rPr>
          <w:rFonts w:hint="eastAsia" w:ascii="宋体" w:hAnsi="宋体" w:eastAsia="宋体" w:cs="宋体"/>
          <w:bCs/>
          <w:color w:val="auto"/>
          <w:szCs w:val="22"/>
          <w:highlight w:val="none"/>
        </w:rPr>
        <w:fldChar w:fldCharType="begin"/>
      </w:r>
      <w:r>
        <w:rPr>
          <w:rFonts w:hint="eastAsia" w:ascii="宋体" w:hAnsi="宋体" w:eastAsia="宋体" w:cs="宋体"/>
          <w:bCs/>
          <w:color w:val="auto"/>
          <w:szCs w:val="22"/>
          <w:highlight w:val="none"/>
        </w:rPr>
        <w:instrText xml:space="preserve"> HYPERLINK \l _Toc20738 </w:instrText>
      </w:r>
      <w:r>
        <w:rPr>
          <w:rFonts w:hint="eastAsia" w:ascii="宋体" w:hAnsi="宋体" w:eastAsia="宋体" w:cs="宋体"/>
          <w:bCs/>
          <w:color w:val="auto"/>
          <w:szCs w:val="22"/>
          <w:highlight w:val="none"/>
        </w:rPr>
        <w:fldChar w:fldCharType="separate"/>
      </w:r>
      <w:r>
        <w:rPr>
          <w:rFonts w:hint="eastAsia" w:ascii="宋体" w:hAnsi="宋体" w:eastAsia="宋体" w:cs="宋体"/>
          <w:color w:val="auto"/>
          <w:szCs w:val="36"/>
          <w:highlight w:val="none"/>
        </w:rPr>
        <w:t>第二部分   合同主要条款</w:t>
      </w:r>
      <w:r>
        <w:rPr>
          <w:color w:val="auto"/>
          <w:highlight w:val="none"/>
        </w:rPr>
        <w:tab/>
      </w:r>
      <w:r>
        <w:rPr>
          <w:color w:val="auto"/>
          <w:highlight w:val="none"/>
        </w:rPr>
        <w:fldChar w:fldCharType="begin"/>
      </w:r>
      <w:r>
        <w:rPr>
          <w:color w:val="auto"/>
          <w:highlight w:val="none"/>
        </w:rPr>
        <w:instrText xml:space="preserve"> PAGEREF _Toc20738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bCs/>
          <w:color w:val="auto"/>
          <w:szCs w:val="22"/>
          <w:highlight w:val="none"/>
        </w:rPr>
        <w:fldChar w:fldCharType="end"/>
      </w:r>
    </w:p>
    <w:p w14:paraId="214F4BB2">
      <w:pPr>
        <w:pStyle w:val="23"/>
        <w:tabs>
          <w:tab w:val="right" w:leader="dot" w:pos="10150"/>
          <w:tab w:val="clear" w:pos="9628"/>
        </w:tabs>
        <w:rPr>
          <w:color w:val="auto"/>
          <w:highlight w:val="none"/>
        </w:rPr>
      </w:pPr>
      <w:r>
        <w:rPr>
          <w:rFonts w:hint="eastAsia" w:ascii="宋体" w:hAnsi="宋体" w:eastAsia="宋体" w:cs="宋体"/>
          <w:bCs/>
          <w:color w:val="auto"/>
          <w:szCs w:val="22"/>
          <w:highlight w:val="none"/>
        </w:rPr>
        <w:fldChar w:fldCharType="begin"/>
      </w:r>
      <w:r>
        <w:rPr>
          <w:rFonts w:hint="eastAsia" w:ascii="宋体" w:hAnsi="宋体" w:eastAsia="宋体" w:cs="宋体"/>
          <w:bCs/>
          <w:color w:val="auto"/>
          <w:szCs w:val="22"/>
          <w:highlight w:val="none"/>
        </w:rPr>
        <w:instrText xml:space="preserve"> HYPERLINK \l _Toc9125 </w:instrText>
      </w:r>
      <w:r>
        <w:rPr>
          <w:rFonts w:hint="eastAsia" w:ascii="宋体" w:hAnsi="宋体" w:eastAsia="宋体" w:cs="宋体"/>
          <w:bCs/>
          <w:color w:val="auto"/>
          <w:szCs w:val="22"/>
          <w:highlight w:val="none"/>
        </w:rPr>
        <w:fldChar w:fldCharType="separate"/>
      </w:r>
      <w:r>
        <w:rPr>
          <w:rFonts w:hint="eastAsia" w:ascii="宋体" w:hAnsi="宋体" w:eastAsia="宋体" w:cs="宋体"/>
          <w:color w:val="auto"/>
          <w:szCs w:val="36"/>
          <w:highlight w:val="none"/>
        </w:rPr>
        <w:t>第三部分   附件</w:t>
      </w:r>
      <w:r>
        <w:rPr>
          <w:color w:val="auto"/>
          <w:highlight w:val="none"/>
        </w:rPr>
        <w:tab/>
      </w:r>
      <w:r>
        <w:rPr>
          <w:color w:val="auto"/>
          <w:highlight w:val="none"/>
        </w:rPr>
        <w:fldChar w:fldCharType="begin"/>
      </w:r>
      <w:r>
        <w:rPr>
          <w:color w:val="auto"/>
          <w:highlight w:val="none"/>
        </w:rPr>
        <w:instrText xml:space="preserve"> PAGEREF _Toc9125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bCs/>
          <w:color w:val="auto"/>
          <w:szCs w:val="22"/>
          <w:highlight w:val="none"/>
        </w:rPr>
        <w:fldChar w:fldCharType="end"/>
      </w:r>
    </w:p>
    <w:p w14:paraId="0A9815C6">
      <w:pPr>
        <w:pStyle w:val="23"/>
        <w:tabs>
          <w:tab w:val="right" w:leader="dot" w:pos="10150"/>
          <w:tab w:val="clear" w:pos="9628"/>
        </w:tabs>
        <w:rPr>
          <w:color w:val="auto"/>
          <w:highlight w:val="none"/>
        </w:rPr>
      </w:pPr>
      <w:r>
        <w:rPr>
          <w:rFonts w:hint="eastAsia" w:ascii="宋体" w:hAnsi="宋体" w:eastAsia="宋体" w:cs="宋体"/>
          <w:bCs/>
          <w:color w:val="auto"/>
          <w:szCs w:val="22"/>
          <w:highlight w:val="none"/>
        </w:rPr>
        <w:fldChar w:fldCharType="begin"/>
      </w:r>
      <w:r>
        <w:rPr>
          <w:rFonts w:hint="eastAsia" w:ascii="宋体" w:hAnsi="宋体" w:eastAsia="宋体" w:cs="宋体"/>
          <w:bCs/>
          <w:color w:val="auto"/>
          <w:szCs w:val="22"/>
          <w:highlight w:val="none"/>
        </w:rPr>
        <w:instrText xml:space="preserve"> HYPERLINK \l _Toc32270 </w:instrText>
      </w:r>
      <w:r>
        <w:rPr>
          <w:rFonts w:hint="eastAsia" w:ascii="宋体" w:hAnsi="宋体" w:eastAsia="宋体" w:cs="宋体"/>
          <w:bCs/>
          <w:color w:val="auto"/>
          <w:szCs w:val="22"/>
          <w:highlight w:val="none"/>
        </w:rPr>
        <w:fldChar w:fldCharType="separate"/>
      </w:r>
      <w:r>
        <w:rPr>
          <w:rFonts w:hint="eastAsia" w:ascii="宋体" w:hAnsi="宋体" w:eastAsia="宋体" w:cs="宋体"/>
          <w:color w:val="auto"/>
          <w:szCs w:val="36"/>
          <w:highlight w:val="none"/>
        </w:rPr>
        <w:t>第四部分   采购内容及要求</w:t>
      </w:r>
      <w:r>
        <w:rPr>
          <w:color w:val="auto"/>
          <w:highlight w:val="none"/>
        </w:rPr>
        <w:tab/>
      </w:r>
      <w:r>
        <w:rPr>
          <w:color w:val="auto"/>
          <w:highlight w:val="none"/>
        </w:rPr>
        <w:fldChar w:fldCharType="begin"/>
      </w:r>
      <w:r>
        <w:rPr>
          <w:color w:val="auto"/>
          <w:highlight w:val="none"/>
        </w:rPr>
        <w:instrText xml:space="preserve"> PAGEREF _Toc32270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bCs/>
          <w:color w:val="auto"/>
          <w:szCs w:val="22"/>
          <w:highlight w:val="none"/>
        </w:rPr>
        <w:fldChar w:fldCharType="end"/>
      </w:r>
    </w:p>
    <w:p w14:paraId="4831F881">
      <w:pPr>
        <w:shd w:val="clear" w:color="auto" w:fill="auto"/>
        <w:spacing w:line="480" w:lineRule="auto"/>
        <w:rPr>
          <w:rFonts w:hint="eastAsia" w:ascii="宋体" w:hAnsi="宋体" w:eastAsia="宋体" w:cs="宋体"/>
          <w:b/>
          <w:bCs/>
          <w:color w:val="auto"/>
          <w:sz w:val="22"/>
          <w:szCs w:val="22"/>
          <w:highlight w:val="none"/>
        </w:rPr>
      </w:pPr>
      <w:r>
        <w:rPr>
          <w:rFonts w:hint="eastAsia" w:ascii="宋体" w:hAnsi="宋体" w:eastAsia="宋体" w:cs="宋体"/>
          <w:bCs/>
          <w:color w:val="auto"/>
          <w:szCs w:val="22"/>
          <w:highlight w:val="none"/>
        </w:rPr>
        <w:fldChar w:fldCharType="end"/>
      </w:r>
    </w:p>
    <w:p w14:paraId="68329245">
      <w:pPr>
        <w:shd w:val="clear" w:color="auto" w:fill="auto"/>
        <w:spacing w:line="5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注：采购文件中部分加“▲”及加下划线的条款，为采购的实质性要求和条件，着重提醒各投标人注意，并认真查看采购文件中的每一个条款及要求，因误读采购文件而造成的后果，采购人概不负责。</w:t>
      </w:r>
    </w:p>
    <w:p w14:paraId="012114C1">
      <w:pPr>
        <w:shd w:val="clear" w:color="auto" w:fill="auto"/>
        <w:spacing w:line="560" w:lineRule="exact"/>
        <w:rPr>
          <w:rFonts w:hint="eastAsia" w:ascii="宋体" w:hAnsi="宋体" w:eastAsia="宋体" w:cs="宋体"/>
          <w:b/>
          <w:bCs/>
          <w:color w:val="auto"/>
          <w:sz w:val="22"/>
          <w:szCs w:val="22"/>
          <w:highlight w:val="none"/>
        </w:rPr>
      </w:pPr>
    </w:p>
    <w:p w14:paraId="6D73B752">
      <w:pPr>
        <w:shd w:val="clear" w:color="auto" w:fill="auto"/>
        <w:spacing w:line="380" w:lineRule="exact"/>
        <w:ind w:right="720"/>
        <w:rPr>
          <w:rFonts w:hint="eastAsia" w:ascii="宋体" w:hAnsi="宋体" w:eastAsia="宋体" w:cs="宋体"/>
          <w:b/>
          <w:bCs/>
          <w:color w:val="auto"/>
          <w:kern w:val="0"/>
          <w:sz w:val="28"/>
          <w:szCs w:val="28"/>
          <w:highlight w:val="none"/>
        </w:rPr>
      </w:pPr>
    </w:p>
    <w:p w14:paraId="6CC3CFAD">
      <w:pPr>
        <w:pStyle w:val="3"/>
        <w:keepNext w:val="0"/>
        <w:keepLines w:val="0"/>
        <w:pageBreakBefore w:val="0"/>
        <w:widowControl/>
        <w:shd w:val="clear" w:color="auto" w:fill="auto"/>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auto"/>
          <w:kern w:val="44"/>
          <w:sz w:val="32"/>
          <w:szCs w:val="32"/>
          <w:highlight w:val="none"/>
          <w:lang w:bidi="ar-SA"/>
        </w:rPr>
        <w:sectPr>
          <w:footerReference r:id="rId4" w:type="default"/>
          <w:type w:val="continuous"/>
          <w:pgSz w:w="11910" w:h="16840"/>
          <w:pgMar w:top="1134" w:right="1134" w:bottom="1134" w:left="1134" w:header="680" w:footer="680" w:gutter="0"/>
          <w:pgNumType w:start="1"/>
          <w:cols w:space="0" w:num="1"/>
          <w:rtlGutter w:val="0"/>
          <w:docGrid w:linePitch="0" w:charSpace="0"/>
        </w:sectPr>
      </w:pPr>
      <w:bookmarkStart w:id="0" w:name="_Toc10107"/>
      <w:bookmarkStart w:id="1" w:name="_Toc15580"/>
      <w:bookmarkStart w:id="2" w:name="_Hlk86763547"/>
    </w:p>
    <w:p w14:paraId="73F74959">
      <w:pPr>
        <w:pStyle w:val="3"/>
        <w:keepNext w:val="0"/>
        <w:keepLines w:val="0"/>
        <w:pageBreakBefore w:val="0"/>
        <w:widowControl/>
        <w:shd w:val="clear" w:color="auto" w:fill="auto"/>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
          <w:color w:val="auto"/>
          <w:kern w:val="44"/>
          <w:sz w:val="32"/>
          <w:szCs w:val="32"/>
          <w:highlight w:val="none"/>
          <w:lang w:bidi="ar-SA"/>
        </w:rPr>
        <w:t>温州市交运集团所属</w:t>
      </w:r>
      <w:r>
        <w:rPr>
          <w:rFonts w:hint="eastAsia" w:asciiTheme="minorEastAsia" w:hAnsiTheme="minorEastAsia" w:eastAsiaTheme="minorEastAsia" w:cstheme="minorEastAsia"/>
          <w:b/>
          <w:color w:val="auto"/>
          <w:kern w:val="44"/>
          <w:sz w:val="32"/>
          <w:szCs w:val="32"/>
          <w:highlight w:val="none"/>
          <w:lang w:eastAsia="zh-CN" w:bidi="ar-SA"/>
        </w:rPr>
        <w:t>温州交运集团泰顺有限公司</w:t>
      </w:r>
      <w:r>
        <w:rPr>
          <w:rFonts w:hint="eastAsia" w:asciiTheme="minorEastAsia" w:hAnsiTheme="minorEastAsia" w:eastAsiaTheme="minorEastAsia" w:cstheme="minorEastAsia"/>
          <w:b/>
          <w:color w:val="auto"/>
          <w:kern w:val="44"/>
          <w:sz w:val="32"/>
          <w:szCs w:val="32"/>
          <w:highlight w:val="none"/>
          <w:lang w:bidi="ar-SA"/>
        </w:rPr>
        <w:t>关于</w:t>
      </w:r>
      <w:r>
        <w:rPr>
          <w:rFonts w:hint="eastAsia" w:asciiTheme="minorEastAsia" w:hAnsiTheme="minorEastAsia" w:eastAsiaTheme="minorEastAsia" w:cstheme="minorEastAsia"/>
          <w:b/>
          <w:color w:val="auto"/>
          <w:kern w:val="44"/>
          <w:sz w:val="32"/>
          <w:szCs w:val="32"/>
          <w:highlight w:val="none"/>
          <w:lang w:eastAsia="zh-CN" w:bidi="ar-SA"/>
        </w:rPr>
        <w:t>气象预警服务平台项目研发</w:t>
      </w:r>
      <w:r>
        <w:rPr>
          <w:rFonts w:hint="eastAsia" w:asciiTheme="minorEastAsia" w:hAnsiTheme="minorEastAsia" w:eastAsiaTheme="minorEastAsia" w:cstheme="minorEastAsia"/>
          <w:b/>
          <w:color w:val="auto"/>
          <w:kern w:val="44"/>
          <w:sz w:val="32"/>
          <w:szCs w:val="32"/>
          <w:highlight w:val="none"/>
          <w:lang w:bidi="ar-SA"/>
        </w:rPr>
        <w:t>项目</w:t>
      </w:r>
      <w:r>
        <w:rPr>
          <w:rFonts w:hint="eastAsia" w:asciiTheme="minorEastAsia" w:hAnsiTheme="minorEastAsia" w:eastAsiaTheme="minorEastAsia" w:cstheme="minorEastAsia"/>
          <w:b/>
          <w:color w:val="auto"/>
          <w:kern w:val="44"/>
          <w:sz w:val="32"/>
          <w:szCs w:val="32"/>
          <w:highlight w:val="none"/>
          <w:lang w:eastAsia="zh-CN" w:bidi="ar-SA"/>
        </w:rPr>
        <w:t>（</w:t>
      </w:r>
      <w:r>
        <w:rPr>
          <w:rFonts w:hint="eastAsia" w:asciiTheme="minorEastAsia" w:hAnsiTheme="minorEastAsia" w:eastAsiaTheme="minorEastAsia" w:cstheme="minorEastAsia"/>
          <w:b/>
          <w:color w:val="auto"/>
          <w:kern w:val="44"/>
          <w:sz w:val="32"/>
          <w:szCs w:val="32"/>
          <w:highlight w:val="none"/>
          <w:lang w:val="en-US" w:eastAsia="zh-CN" w:bidi="ar-SA"/>
        </w:rPr>
        <w:t>自主</w:t>
      </w:r>
      <w:r>
        <w:rPr>
          <w:rFonts w:hint="eastAsia" w:asciiTheme="minorEastAsia" w:hAnsiTheme="minorEastAsia" w:eastAsiaTheme="minorEastAsia" w:cstheme="minorEastAsia"/>
          <w:b/>
          <w:color w:val="auto"/>
          <w:kern w:val="44"/>
          <w:sz w:val="32"/>
          <w:szCs w:val="32"/>
          <w:highlight w:val="none"/>
          <w:lang w:eastAsia="zh-CN" w:bidi="ar-SA"/>
        </w:rPr>
        <w:t>）</w:t>
      </w:r>
      <w:r>
        <w:rPr>
          <w:rFonts w:hint="eastAsia" w:asciiTheme="minorEastAsia" w:hAnsiTheme="minorEastAsia" w:eastAsiaTheme="minorEastAsia" w:cstheme="minorEastAsia"/>
          <w:b/>
          <w:color w:val="auto"/>
          <w:kern w:val="44"/>
          <w:sz w:val="32"/>
          <w:szCs w:val="32"/>
          <w:highlight w:val="none"/>
          <w:lang w:bidi="ar-SA"/>
        </w:rPr>
        <w:t>的采购公告</w:t>
      </w:r>
      <w:bookmarkEnd w:id="0"/>
      <w:bookmarkEnd w:id="1"/>
    </w:p>
    <w:p w14:paraId="596955B0">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35"/>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w:t>
      </w:r>
      <w:r>
        <w:rPr>
          <w:rFonts w:hint="eastAsia" w:asciiTheme="minorEastAsia" w:hAnsiTheme="minorEastAsia" w:eastAsiaTheme="minorEastAsia" w:cstheme="minorEastAsia"/>
          <w:color w:val="auto"/>
          <w:sz w:val="21"/>
          <w:szCs w:val="21"/>
          <w:highlight w:val="none"/>
          <w:lang w:eastAsia="zh-CN"/>
        </w:rPr>
        <w:t>温州市市属国有企业采购管理办法</w:t>
      </w:r>
      <w:r>
        <w:rPr>
          <w:rFonts w:hint="eastAsia" w:asciiTheme="minorEastAsia" w:hAnsiTheme="minorEastAsia" w:eastAsiaTheme="minorEastAsia" w:cstheme="minorEastAsia"/>
          <w:color w:val="auto"/>
          <w:sz w:val="21"/>
          <w:szCs w:val="21"/>
          <w:highlight w:val="none"/>
        </w:rPr>
        <w:t>》等有关规定，</w:t>
      </w:r>
      <w:r>
        <w:rPr>
          <w:rFonts w:hint="eastAsia" w:asciiTheme="minorEastAsia" w:hAnsiTheme="minorEastAsia" w:eastAsiaTheme="minorEastAsia" w:cstheme="minorEastAsia"/>
          <w:color w:val="auto"/>
          <w:sz w:val="21"/>
          <w:szCs w:val="21"/>
          <w:highlight w:val="none"/>
          <w:lang w:eastAsia="zh-CN"/>
        </w:rPr>
        <w:t>浙江林鸥工程管理有限公司</w:t>
      </w:r>
      <w:r>
        <w:rPr>
          <w:rFonts w:hint="eastAsia" w:asciiTheme="minorEastAsia" w:hAnsiTheme="minorEastAsia" w:eastAsiaTheme="minorEastAsia" w:cstheme="minorEastAsia"/>
          <w:color w:val="auto"/>
          <w:sz w:val="21"/>
          <w:szCs w:val="21"/>
          <w:highlight w:val="none"/>
        </w:rPr>
        <w:t>受</w:t>
      </w:r>
      <w:r>
        <w:rPr>
          <w:rFonts w:hint="eastAsia" w:asciiTheme="minorEastAsia" w:hAnsiTheme="minorEastAsia" w:eastAsiaTheme="minorEastAsia" w:cstheme="minorEastAsia"/>
          <w:color w:val="auto"/>
          <w:sz w:val="21"/>
          <w:szCs w:val="21"/>
          <w:highlight w:val="none"/>
          <w:lang w:eastAsia="zh-CN"/>
        </w:rPr>
        <w:t>温州交运集团泰顺有限公司</w:t>
      </w:r>
      <w:r>
        <w:rPr>
          <w:rFonts w:hint="eastAsia" w:asciiTheme="minorEastAsia" w:hAnsiTheme="minorEastAsia" w:eastAsiaTheme="minorEastAsia" w:cstheme="minorEastAsia"/>
          <w:color w:val="auto"/>
          <w:sz w:val="21"/>
          <w:szCs w:val="21"/>
          <w:highlight w:val="none"/>
        </w:rPr>
        <w:t>委托，就</w:t>
      </w:r>
      <w:r>
        <w:rPr>
          <w:rFonts w:hint="eastAsia" w:asciiTheme="minorEastAsia" w:hAnsiTheme="minorEastAsia" w:eastAsiaTheme="minorEastAsia" w:cstheme="minorEastAsia"/>
          <w:color w:val="auto"/>
          <w:sz w:val="21"/>
          <w:szCs w:val="21"/>
          <w:highlight w:val="none"/>
          <w:lang w:eastAsia="zh-CN"/>
        </w:rPr>
        <w:t>气象预警服务平台项目研发</w:t>
      </w:r>
      <w:r>
        <w:rPr>
          <w:rFonts w:hint="eastAsia" w:asciiTheme="minorEastAsia" w:hAnsiTheme="minorEastAsia" w:eastAsiaTheme="minorEastAsia" w:cstheme="minorEastAsia"/>
          <w:color w:val="auto"/>
          <w:sz w:val="21"/>
          <w:szCs w:val="21"/>
          <w:highlight w:val="none"/>
        </w:rPr>
        <w:t>以公开招标方式进行国企采购，欢迎国内合格的投标人前来投标。</w:t>
      </w:r>
    </w:p>
    <w:p w14:paraId="2AC0F7B3">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color w:val="auto"/>
          <w:sz w:val="21"/>
          <w:szCs w:val="21"/>
          <w:highlight w:val="none"/>
          <w:lang w:eastAsia="zh-CN"/>
        </w:rPr>
      </w:pPr>
      <w:r>
        <w:rPr>
          <w:rStyle w:val="36"/>
          <w:rFonts w:hint="eastAsia" w:asciiTheme="minorEastAsia" w:hAnsiTheme="minorEastAsia" w:eastAsiaTheme="minorEastAsia" w:cstheme="minorEastAsia"/>
          <w:color w:val="auto"/>
          <w:sz w:val="21"/>
          <w:szCs w:val="21"/>
          <w:highlight w:val="none"/>
        </w:rPr>
        <w:t>一、项目编号：</w:t>
      </w:r>
      <w:r>
        <w:rPr>
          <w:rFonts w:hint="eastAsia" w:asciiTheme="minorEastAsia" w:hAnsiTheme="minorEastAsia" w:eastAsiaTheme="minorEastAsia" w:cstheme="minorEastAsia"/>
          <w:color w:val="auto"/>
          <w:sz w:val="21"/>
          <w:szCs w:val="21"/>
          <w:highlight w:val="none"/>
          <w:lang w:eastAsia="zh-CN"/>
        </w:rPr>
        <w:t>WGSS-JYJT-Z-2025032</w:t>
      </w:r>
    </w:p>
    <w:p w14:paraId="6DA8D26D">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color w:val="auto"/>
          <w:sz w:val="21"/>
          <w:szCs w:val="21"/>
          <w:highlight w:val="none"/>
        </w:rPr>
      </w:pPr>
      <w:r>
        <w:rPr>
          <w:rStyle w:val="36"/>
          <w:rFonts w:hint="eastAsia" w:asciiTheme="minorEastAsia" w:hAnsiTheme="minorEastAsia" w:eastAsiaTheme="minorEastAsia" w:cstheme="minorEastAsia"/>
          <w:color w:val="auto"/>
          <w:sz w:val="21"/>
          <w:szCs w:val="21"/>
          <w:highlight w:val="none"/>
        </w:rPr>
        <w:t>二、项目性质：</w:t>
      </w:r>
      <w:r>
        <w:rPr>
          <w:rFonts w:hint="eastAsia" w:asciiTheme="minorEastAsia" w:hAnsiTheme="minorEastAsia" w:eastAsiaTheme="minorEastAsia" w:cstheme="minorEastAsia"/>
          <w:color w:val="auto"/>
          <w:sz w:val="21"/>
          <w:szCs w:val="21"/>
          <w:highlight w:val="none"/>
        </w:rPr>
        <w:t>国企采购（非政府采购项目）</w:t>
      </w:r>
    </w:p>
    <w:p w14:paraId="5BF7E475">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color w:val="auto"/>
          <w:sz w:val="21"/>
          <w:szCs w:val="21"/>
          <w:highlight w:val="none"/>
        </w:rPr>
      </w:pPr>
      <w:r>
        <w:rPr>
          <w:rStyle w:val="36"/>
          <w:rFonts w:hint="eastAsia" w:asciiTheme="minorEastAsia" w:hAnsiTheme="minorEastAsia" w:eastAsiaTheme="minorEastAsia" w:cstheme="minorEastAsia"/>
          <w:color w:val="auto"/>
          <w:sz w:val="21"/>
          <w:szCs w:val="21"/>
          <w:highlight w:val="none"/>
        </w:rPr>
        <w:t>三、采购内容（具体采购内容及详细技术要求见采购文件相关部分）：</w:t>
      </w:r>
    </w:p>
    <w:tbl>
      <w:tblPr>
        <w:tblStyle w:val="33"/>
        <w:tblW w:w="5000" w:type="pct"/>
        <w:jc w:val="center"/>
        <w:tblLayout w:type="autofit"/>
        <w:tblCellMar>
          <w:top w:w="0" w:type="dxa"/>
          <w:left w:w="0" w:type="dxa"/>
          <w:bottom w:w="0" w:type="dxa"/>
          <w:right w:w="0" w:type="dxa"/>
        </w:tblCellMar>
      </w:tblPr>
      <w:tblGrid>
        <w:gridCol w:w="749"/>
        <w:gridCol w:w="2495"/>
        <w:gridCol w:w="2303"/>
        <w:gridCol w:w="4305"/>
      </w:tblGrid>
      <w:tr w14:paraId="10BF84FB">
        <w:tblPrEx>
          <w:tblCellMar>
            <w:top w:w="0" w:type="dxa"/>
            <w:left w:w="0" w:type="dxa"/>
            <w:bottom w:w="0" w:type="dxa"/>
            <w:right w:w="0" w:type="dxa"/>
          </w:tblCellMar>
        </w:tblPrEx>
        <w:trPr>
          <w:trHeight w:val="550" w:hRule="atLeast"/>
          <w:jc w:val="center"/>
        </w:trPr>
        <w:tc>
          <w:tcPr>
            <w:tcW w:w="380" w:type="pct"/>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14:paraId="136E859B">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color w:val="auto"/>
                <w:sz w:val="21"/>
                <w:szCs w:val="21"/>
                <w:highlight w:val="none"/>
              </w:rPr>
            </w:pPr>
            <w:r>
              <w:rPr>
                <w:rStyle w:val="36"/>
                <w:rFonts w:hint="eastAsia" w:asciiTheme="minorEastAsia" w:hAnsiTheme="minorEastAsia" w:eastAsiaTheme="minorEastAsia" w:cstheme="minorEastAsia"/>
                <w:b w:val="0"/>
                <w:bCs w:val="0"/>
                <w:color w:val="auto"/>
                <w:sz w:val="21"/>
                <w:szCs w:val="21"/>
                <w:highlight w:val="none"/>
              </w:rPr>
              <w:t>序号</w:t>
            </w:r>
          </w:p>
        </w:tc>
        <w:tc>
          <w:tcPr>
            <w:tcW w:w="1266" w:type="pct"/>
            <w:tcBorders>
              <w:top w:val="single" w:color="000000" w:sz="6" w:space="0"/>
              <w:left w:val="nil"/>
              <w:bottom w:val="single" w:color="000000" w:sz="6" w:space="0"/>
              <w:right w:val="single" w:color="000000" w:sz="6" w:space="0"/>
            </w:tcBorders>
            <w:noWrap w:val="0"/>
            <w:tcMar>
              <w:left w:w="105" w:type="dxa"/>
              <w:right w:w="105" w:type="dxa"/>
            </w:tcMar>
            <w:vAlign w:val="center"/>
          </w:tcPr>
          <w:p w14:paraId="0C76A9DB">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color w:val="auto"/>
                <w:sz w:val="21"/>
                <w:szCs w:val="21"/>
                <w:highlight w:val="none"/>
              </w:rPr>
            </w:pPr>
            <w:r>
              <w:rPr>
                <w:rStyle w:val="36"/>
                <w:rFonts w:hint="eastAsia" w:asciiTheme="minorEastAsia" w:hAnsiTheme="minorEastAsia" w:eastAsiaTheme="minorEastAsia" w:cstheme="minorEastAsia"/>
                <w:b w:val="0"/>
                <w:bCs w:val="0"/>
                <w:color w:val="auto"/>
                <w:sz w:val="21"/>
                <w:szCs w:val="21"/>
                <w:highlight w:val="none"/>
              </w:rPr>
              <w:t>项目名称</w:t>
            </w:r>
          </w:p>
        </w:tc>
        <w:tc>
          <w:tcPr>
            <w:tcW w:w="1169" w:type="pct"/>
            <w:tcBorders>
              <w:top w:val="single" w:color="000000" w:sz="6" w:space="0"/>
              <w:left w:val="nil"/>
              <w:bottom w:val="single" w:color="000000" w:sz="6" w:space="0"/>
              <w:right w:val="single" w:color="000000" w:sz="6" w:space="0"/>
            </w:tcBorders>
            <w:noWrap w:val="0"/>
            <w:tcMar>
              <w:left w:w="105" w:type="dxa"/>
              <w:right w:w="105" w:type="dxa"/>
            </w:tcMar>
            <w:vAlign w:val="center"/>
          </w:tcPr>
          <w:p w14:paraId="13AD55F7">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color w:val="auto"/>
                <w:sz w:val="21"/>
                <w:szCs w:val="21"/>
                <w:highlight w:val="none"/>
              </w:rPr>
            </w:pPr>
            <w:r>
              <w:rPr>
                <w:rStyle w:val="36"/>
                <w:rFonts w:hint="eastAsia" w:asciiTheme="minorEastAsia" w:hAnsiTheme="minorEastAsia" w:eastAsiaTheme="minorEastAsia" w:cstheme="minorEastAsia"/>
                <w:b w:val="0"/>
                <w:bCs w:val="0"/>
                <w:color w:val="auto"/>
                <w:sz w:val="21"/>
                <w:szCs w:val="21"/>
                <w:highlight w:val="none"/>
              </w:rPr>
              <w:t>预算金额</w:t>
            </w:r>
          </w:p>
        </w:tc>
        <w:tc>
          <w:tcPr>
            <w:tcW w:w="2185" w:type="pct"/>
            <w:tcBorders>
              <w:top w:val="single" w:color="000000" w:sz="6" w:space="0"/>
              <w:left w:val="nil"/>
              <w:bottom w:val="single" w:color="000000" w:sz="6" w:space="0"/>
              <w:right w:val="single" w:color="000000" w:sz="6" w:space="0"/>
            </w:tcBorders>
            <w:noWrap w:val="0"/>
            <w:tcMar>
              <w:left w:w="105" w:type="dxa"/>
              <w:right w:w="105" w:type="dxa"/>
            </w:tcMar>
            <w:vAlign w:val="center"/>
          </w:tcPr>
          <w:p w14:paraId="4B9FC31F">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简要技术要求、用途</w:t>
            </w:r>
          </w:p>
        </w:tc>
      </w:tr>
      <w:tr w14:paraId="7267C283">
        <w:tblPrEx>
          <w:tblCellMar>
            <w:top w:w="0" w:type="dxa"/>
            <w:left w:w="0" w:type="dxa"/>
            <w:bottom w:w="0" w:type="dxa"/>
            <w:right w:w="0" w:type="dxa"/>
          </w:tblCellMar>
        </w:tblPrEx>
        <w:trPr>
          <w:trHeight w:val="660" w:hRule="atLeast"/>
          <w:jc w:val="center"/>
        </w:trPr>
        <w:tc>
          <w:tcPr>
            <w:tcW w:w="380" w:type="pct"/>
            <w:tcBorders>
              <w:top w:val="nil"/>
              <w:left w:val="single" w:color="000000" w:sz="6" w:space="0"/>
              <w:bottom w:val="single" w:color="000000" w:sz="6" w:space="0"/>
              <w:right w:val="single" w:color="000000" w:sz="6" w:space="0"/>
            </w:tcBorders>
            <w:noWrap w:val="0"/>
            <w:tcMar>
              <w:left w:w="105" w:type="dxa"/>
              <w:right w:w="105" w:type="dxa"/>
            </w:tcMar>
            <w:vAlign w:val="center"/>
          </w:tcPr>
          <w:p w14:paraId="3AE6268A">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266" w:type="pct"/>
            <w:tcBorders>
              <w:top w:val="nil"/>
              <w:left w:val="nil"/>
              <w:bottom w:val="single" w:color="000000" w:sz="6" w:space="0"/>
              <w:right w:val="single" w:color="000000" w:sz="6" w:space="0"/>
            </w:tcBorders>
            <w:noWrap w:val="0"/>
            <w:tcMar>
              <w:left w:w="105" w:type="dxa"/>
              <w:right w:w="105" w:type="dxa"/>
            </w:tcMar>
            <w:vAlign w:val="center"/>
          </w:tcPr>
          <w:p w14:paraId="258DA5DF">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气象预警服务平台项目研发</w:t>
            </w:r>
          </w:p>
        </w:tc>
        <w:tc>
          <w:tcPr>
            <w:tcW w:w="1169" w:type="pct"/>
            <w:tcBorders>
              <w:top w:val="nil"/>
              <w:left w:val="nil"/>
              <w:bottom w:val="single" w:color="000000" w:sz="6" w:space="0"/>
              <w:right w:val="single" w:color="000000" w:sz="6" w:space="0"/>
            </w:tcBorders>
            <w:noWrap w:val="0"/>
            <w:tcMar>
              <w:left w:w="105" w:type="dxa"/>
              <w:right w:w="105" w:type="dxa"/>
            </w:tcMar>
            <w:vAlign w:val="center"/>
          </w:tcPr>
          <w:p w14:paraId="1DA10A89">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70万元</w:t>
            </w:r>
          </w:p>
        </w:tc>
        <w:tc>
          <w:tcPr>
            <w:tcW w:w="2185" w:type="pct"/>
            <w:tcBorders>
              <w:top w:val="nil"/>
              <w:left w:val="nil"/>
              <w:bottom w:val="single" w:color="000000" w:sz="6" w:space="0"/>
              <w:right w:val="single" w:color="000000" w:sz="6" w:space="0"/>
            </w:tcBorders>
            <w:noWrap w:val="0"/>
            <w:tcMar>
              <w:left w:w="105" w:type="dxa"/>
              <w:right w:w="105" w:type="dxa"/>
            </w:tcMar>
            <w:vAlign w:val="center"/>
          </w:tcPr>
          <w:p w14:paraId="34201C09">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气象预警服务平台项目研发，</w:t>
            </w:r>
            <w:r>
              <w:rPr>
                <w:rFonts w:hint="eastAsia" w:asciiTheme="minorEastAsia" w:hAnsiTheme="minorEastAsia" w:eastAsiaTheme="minorEastAsia" w:cstheme="minorEastAsia"/>
                <w:color w:val="auto"/>
                <w:sz w:val="21"/>
                <w:szCs w:val="21"/>
                <w:highlight w:val="none"/>
              </w:rPr>
              <w:t>具体采购内容及要求见采购文件相关部分。</w:t>
            </w:r>
          </w:p>
        </w:tc>
      </w:tr>
    </w:tbl>
    <w:p w14:paraId="13D03D89">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color w:val="auto"/>
          <w:sz w:val="21"/>
          <w:szCs w:val="21"/>
          <w:highlight w:val="none"/>
        </w:rPr>
      </w:pPr>
      <w:r>
        <w:rPr>
          <w:rStyle w:val="36"/>
          <w:rFonts w:hint="eastAsia" w:asciiTheme="minorEastAsia" w:hAnsiTheme="minorEastAsia" w:eastAsiaTheme="minorEastAsia" w:cstheme="minorEastAsia"/>
          <w:color w:val="auto"/>
          <w:sz w:val="21"/>
          <w:szCs w:val="21"/>
          <w:highlight w:val="none"/>
        </w:rPr>
        <w:t>四、投标人资格要求：</w:t>
      </w:r>
    </w:p>
    <w:p w14:paraId="33D874AB">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35"/>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1、符合《</w:t>
      </w:r>
      <w:r>
        <w:rPr>
          <w:rFonts w:hint="eastAsia" w:asciiTheme="minorEastAsia" w:hAnsiTheme="minorEastAsia" w:eastAsiaTheme="minorEastAsia" w:cstheme="minorEastAsia"/>
          <w:color w:val="auto"/>
          <w:sz w:val="21"/>
          <w:szCs w:val="21"/>
          <w:highlight w:val="none"/>
          <w:lang w:eastAsia="zh-CN"/>
        </w:rPr>
        <w:t>温州市市属国有企业采购管理办法</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第十八条</w:t>
      </w:r>
      <w:r>
        <w:rPr>
          <w:rFonts w:hint="eastAsia" w:asciiTheme="minorEastAsia" w:hAnsiTheme="minorEastAsia" w:eastAsiaTheme="minorEastAsia" w:cstheme="minorEastAsia"/>
          <w:color w:val="auto"/>
          <w:sz w:val="21"/>
          <w:szCs w:val="21"/>
          <w:highlight w:val="none"/>
        </w:rPr>
        <w:t>对投标人参加温州市国有企业采购活动应当具备的条件的要求；</w:t>
      </w:r>
    </w:p>
    <w:p w14:paraId="104C7B92">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35"/>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2、单位负责人为同一人或者存在直接控股、管理关系的不同投标人，不得参加同一合同项下的采购活动</w:t>
      </w:r>
      <w:r>
        <w:rPr>
          <w:rFonts w:hint="eastAsia" w:asciiTheme="minorEastAsia" w:hAnsiTheme="minorEastAsia" w:eastAsiaTheme="minorEastAsia" w:cstheme="minorEastAsia"/>
          <w:color w:val="auto"/>
          <w:sz w:val="21"/>
          <w:szCs w:val="21"/>
          <w:highlight w:val="none"/>
          <w:lang w:eastAsia="zh-CN"/>
        </w:rPr>
        <w:t>；</w:t>
      </w:r>
    </w:p>
    <w:p w14:paraId="7D5E84A3">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35"/>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3、本项目不接受联合体投标。</w:t>
      </w:r>
      <w:r>
        <w:rPr>
          <w:rFonts w:hint="eastAsia" w:asciiTheme="minorEastAsia" w:hAnsiTheme="minorEastAsia" w:eastAsiaTheme="minorEastAsia" w:cstheme="minorEastAsia"/>
          <w:color w:val="auto"/>
          <w:sz w:val="21"/>
          <w:szCs w:val="21"/>
          <w:highlight w:val="none"/>
        </w:rPr>
        <w:tab/>
      </w:r>
    </w:p>
    <w:p w14:paraId="6A7C640B">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color w:val="auto"/>
          <w:sz w:val="21"/>
          <w:szCs w:val="21"/>
          <w:highlight w:val="none"/>
        </w:rPr>
      </w:pPr>
      <w:r>
        <w:rPr>
          <w:rStyle w:val="36"/>
          <w:rFonts w:hint="eastAsia" w:asciiTheme="minorEastAsia" w:hAnsiTheme="minorEastAsia" w:eastAsiaTheme="minorEastAsia" w:cstheme="minorEastAsia"/>
          <w:color w:val="auto"/>
          <w:sz w:val="21"/>
          <w:szCs w:val="21"/>
          <w:highlight w:val="none"/>
        </w:rPr>
        <w:t>五、报名时间及地址：</w:t>
      </w:r>
    </w:p>
    <w:p w14:paraId="64FAB987">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1、报名时间：自本公告公布日起至截标之前，报名单位准备好资料均可报名（上午：9:00-11:30 下午：13:30-16:30 双休日及法定节假日除外）。</w:t>
      </w:r>
    </w:p>
    <w:p w14:paraId="21608611">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35"/>
        <w:textAlignment w:val="auto"/>
        <w:rPr>
          <w:rStyle w:val="36"/>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2、</w:t>
      </w:r>
      <w:r>
        <w:rPr>
          <w:rStyle w:val="36"/>
          <w:rFonts w:hint="eastAsia" w:asciiTheme="minorEastAsia" w:hAnsiTheme="minorEastAsia" w:eastAsiaTheme="minorEastAsia" w:cstheme="minorEastAsia"/>
          <w:color w:val="auto"/>
          <w:sz w:val="21"/>
          <w:szCs w:val="21"/>
          <w:highlight w:val="none"/>
        </w:rPr>
        <w:t>报名方式：网上报名/现场报名（报名网址：https://zfcg.czt.zj.gov.cn/）（未注册的供应商请尽早注册，客服电话：400-881-7190），投标人报名成功后自行下载采购文件，还须将书面报名资料提交至采购代理机构并办理购买采购文件事宜。</w:t>
      </w:r>
    </w:p>
    <w:p w14:paraId="1EACFE80">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35"/>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3、报名及采购文件发售地点：</w:t>
      </w:r>
      <w:r>
        <w:rPr>
          <w:rFonts w:hint="eastAsia" w:asciiTheme="minorEastAsia" w:hAnsiTheme="minorEastAsia" w:eastAsiaTheme="minorEastAsia" w:cstheme="minorEastAsia"/>
          <w:color w:val="auto"/>
          <w:sz w:val="21"/>
          <w:szCs w:val="21"/>
          <w:highlight w:val="none"/>
          <w:lang w:eastAsia="zh-CN"/>
        </w:rPr>
        <w:t>浙江林鸥工程管理有限公司（浙江省温州市瓯海区娄桥街道商汇路888号广川大厦8楼）</w:t>
      </w:r>
      <w:r>
        <w:rPr>
          <w:rFonts w:hint="eastAsia" w:asciiTheme="minorEastAsia" w:hAnsiTheme="minorEastAsia" w:eastAsiaTheme="minorEastAsia" w:cstheme="minorEastAsia"/>
          <w:color w:val="auto"/>
          <w:sz w:val="21"/>
          <w:szCs w:val="21"/>
          <w:highlight w:val="none"/>
        </w:rPr>
        <w:t>。投标人可采用邮寄或发送邮件方式报名，邮箱</w:t>
      </w:r>
      <w:r>
        <w:rPr>
          <w:rFonts w:hint="eastAsia" w:asciiTheme="minorEastAsia" w:hAnsiTheme="minorEastAsia" w:eastAsiaTheme="minorEastAsia" w:cstheme="minorEastAsia"/>
          <w:color w:val="auto"/>
          <w:sz w:val="21"/>
          <w:szCs w:val="21"/>
          <w:highlight w:val="none"/>
          <w:lang w:eastAsia="zh-CN"/>
        </w:rPr>
        <w:t>358801740@qq.com</w:t>
      </w:r>
      <w:r>
        <w:rPr>
          <w:rFonts w:hint="eastAsia" w:asciiTheme="minorEastAsia" w:hAnsiTheme="minorEastAsia" w:eastAsiaTheme="minorEastAsia" w:cstheme="minorEastAsia"/>
          <w:color w:val="auto"/>
          <w:sz w:val="21"/>
          <w:szCs w:val="21"/>
          <w:highlight w:val="none"/>
        </w:rPr>
        <w:t>，具体情况请联系采购代理机构。</w:t>
      </w:r>
    </w:p>
    <w:p w14:paraId="3D98F037">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35"/>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4、采购文件售价：人民币500元整(售后不退)</w:t>
      </w:r>
    </w:p>
    <w:p w14:paraId="2F820E07">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5、购买采购文件时须提交的文件资料：</w:t>
      </w:r>
    </w:p>
    <w:p w14:paraId="7AEF156F">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 法定代表授权书或投标单位介绍信；</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需有联系方式）</w:t>
      </w:r>
    </w:p>
    <w:p w14:paraId="72CF7ABD">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 企业法人营业执照；</w:t>
      </w:r>
    </w:p>
    <w:p w14:paraId="51ACE679">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 投标人认为需要提供的其他资料；</w:t>
      </w:r>
    </w:p>
    <w:p w14:paraId="057D1E24">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35"/>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以上资料若为复印件，须加盖投标人公章。</w:t>
      </w:r>
    </w:p>
    <w:p w14:paraId="1ED47A2C">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color w:val="auto"/>
          <w:sz w:val="21"/>
          <w:szCs w:val="21"/>
          <w:highlight w:val="none"/>
        </w:rPr>
      </w:pPr>
      <w:r>
        <w:rPr>
          <w:rStyle w:val="36"/>
          <w:rFonts w:hint="eastAsia" w:asciiTheme="minorEastAsia" w:hAnsiTheme="minorEastAsia" w:eastAsiaTheme="minorEastAsia" w:cstheme="minorEastAsia"/>
          <w:color w:val="auto"/>
          <w:sz w:val="21"/>
          <w:szCs w:val="21"/>
          <w:highlight w:val="none"/>
        </w:rPr>
        <w:t>六、投标及开标信息</w:t>
      </w:r>
    </w:p>
    <w:p w14:paraId="448C22EC">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22" w:firstLineChars="200"/>
        <w:textAlignment w:val="auto"/>
        <w:rPr>
          <w:rStyle w:val="36"/>
          <w:rFonts w:hint="eastAsia" w:asciiTheme="minorEastAsia" w:hAnsiTheme="minorEastAsia" w:eastAsiaTheme="minorEastAsia" w:cstheme="minorEastAsia"/>
          <w:color w:val="auto"/>
          <w:sz w:val="21"/>
          <w:szCs w:val="21"/>
          <w:highlight w:val="none"/>
        </w:rPr>
      </w:pPr>
      <w:r>
        <w:rPr>
          <w:rStyle w:val="36"/>
          <w:rFonts w:hint="eastAsia" w:asciiTheme="minorEastAsia" w:hAnsiTheme="minorEastAsia" w:eastAsiaTheme="minorEastAsia" w:cstheme="minorEastAsia"/>
          <w:color w:val="auto"/>
          <w:sz w:val="21"/>
          <w:szCs w:val="21"/>
          <w:highlight w:val="none"/>
        </w:rPr>
        <w:t>投标截止时间：</w:t>
      </w:r>
      <w:r>
        <w:rPr>
          <w:rStyle w:val="36"/>
          <w:rFonts w:hint="eastAsia" w:asciiTheme="minorEastAsia" w:hAnsiTheme="minorEastAsia" w:eastAsiaTheme="minorEastAsia" w:cstheme="minorEastAsia"/>
          <w:color w:val="auto"/>
          <w:sz w:val="21"/>
          <w:szCs w:val="21"/>
          <w:highlight w:val="none"/>
          <w:lang w:eastAsia="zh-CN"/>
        </w:rPr>
        <w:t>202</w:t>
      </w:r>
      <w:r>
        <w:rPr>
          <w:rStyle w:val="36"/>
          <w:rFonts w:hint="eastAsia" w:asciiTheme="minorEastAsia" w:hAnsiTheme="minorEastAsia" w:eastAsiaTheme="minorEastAsia" w:cstheme="minorEastAsia"/>
          <w:color w:val="auto"/>
          <w:sz w:val="21"/>
          <w:szCs w:val="21"/>
          <w:highlight w:val="none"/>
          <w:lang w:val="en-US" w:eastAsia="zh-CN"/>
        </w:rPr>
        <w:t>5</w:t>
      </w:r>
      <w:r>
        <w:rPr>
          <w:rStyle w:val="36"/>
          <w:rFonts w:hint="eastAsia" w:asciiTheme="minorEastAsia" w:hAnsiTheme="minorEastAsia" w:eastAsiaTheme="minorEastAsia" w:cstheme="minorEastAsia"/>
          <w:color w:val="auto"/>
          <w:sz w:val="21"/>
          <w:szCs w:val="21"/>
          <w:highlight w:val="none"/>
          <w:lang w:eastAsia="zh-CN"/>
        </w:rPr>
        <w:t>年</w:t>
      </w:r>
      <w:r>
        <w:rPr>
          <w:rStyle w:val="36"/>
          <w:rFonts w:hint="eastAsia" w:asciiTheme="minorEastAsia" w:hAnsiTheme="minorEastAsia" w:eastAsiaTheme="minorEastAsia" w:cstheme="minorEastAsia"/>
          <w:color w:val="auto"/>
          <w:sz w:val="21"/>
          <w:szCs w:val="21"/>
          <w:highlight w:val="none"/>
          <w:lang w:val="en-US" w:eastAsia="zh-CN"/>
        </w:rPr>
        <w:t>07</w:t>
      </w:r>
      <w:r>
        <w:rPr>
          <w:rStyle w:val="36"/>
          <w:rFonts w:hint="eastAsia" w:asciiTheme="minorEastAsia" w:hAnsiTheme="minorEastAsia" w:eastAsiaTheme="minorEastAsia" w:cstheme="minorEastAsia"/>
          <w:color w:val="auto"/>
          <w:sz w:val="21"/>
          <w:szCs w:val="21"/>
          <w:highlight w:val="none"/>
          <w:lang w:eastAsia="zh-CN"/>
        </w:rPr>
        <w:t>月</w:t>
      </w:r>
      <w:r>
        <w:rPr>
          <w:rStyle w:val="36"/>
          <w:rFonts w:hint="eastAsia" w:asciiTheme="minorEastAsia" w:hAnsiTheme="minorEastAsia" w:eastAsiaTheme="minorEastAsia" w:cstheme="minorEastAsia"/>
          <w:color w:val="auto"/>
          <w:sz w:val="21"/>
          <w:szCs w:val="21"/>
          <w:highlight w:val="none"/>
          <w:lang w:val="en-US" w:eastAsia="zh-CN"/>
        </w:rPr>
        <w:t>30</w:t>
      </w:r>
      <w:r>
        <w:rPr>
          <w:rStyle w:val="36"/>
          <w:rFonts w:hint="eastAsia" w:asciiTheme="minorEastAsia" w:hAnsiTheme="minorEastAsia" w:eastAsiaTheme="minorEastAsia" w:cstheme="minorEastAsia"/>
          <w:color w:val="auto"/>
          <w:sz w:val="21"/>
          <w:szCs w:val="21"/>
          <w:highlight w:val="none"/>
          <w:lang w:eastAsia="zh-CN"/>
        </w:rPr>
        <w:t>日</w:t>
      </w:r>
      <w:r>
        <w:rPr>
          <w:rStyle w:val="36"/>
          <w:rFonts w:hint="eastAsia" w:asciiTheme="minorEastAsia" w:hAnsiTheme="minorEastAsia" w:eastAsiaTheme="minorEastAsia" w:cstheme="minorEastAsia"/>
          <w:color w:val="auto"/>
          <w:sz w:val="21"/>
          <w:szCs w:val="21"/>
          <w:highlight w:val="none"/>
          <w:lang w:val="en-US" w:eastAsia="zh-CN"/>
        </w:rPr>
        <w:t>09</w:t>
      </w:r>
      <w:r>
        <w:rPr>
          <w:rStyle w:val="36"/>
          <w:rFonts w:hint="eastAsia" w:asciiTheme="minorEastAsia" w:hAnsiTheme="minorEastAsia" w:eastAsiaTheme="minorEastAsia" w:cstheme="minorEastAsia"/>
          <w:color w:val="auto"/>
          <w:sz w:val="21"/>
          <w:szCs w:val="21"/>
          <w:highlight w:val="none"/>
        </w:rPr>
        <w:t>时30分整</w:t>
      </w:r>
    </w:p>
    <w:p w14:paraId="3C7EC9BB">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22" w:firstLineChars="200"/>
        <w:textAlignment w:val="auto"/>
        <w:rPr>
          <w:rFonts w:hint="eastAsia" w:asciiTheme="minorEastAsia" w:hAnsiTheme="minorEastAsia" w:eastAsiaTheme="minorEastAsia" w:cstheme="minorEastAsia"/>
          <w:color w:val="auto"/>
          <w:sz w:val="21"/>
          <w:szCs w:val="21"/>
          <w:highlight w:val="none"/>
          <w:lang w:eastAsia="zh-CN"/>
        </w:rPr>
      </w:pPr>
      <w:r>
        <w:rPr>
          <w:rStyle w:val="36"/>
          <w:rFonts w:hint="eastAsia" w:asciiTheme="minorEastAsia" w:hAnsiTheme="minorEastAsia" w:eastAsiaTheme="minorEastAsia" w:cstheme="minorEastAsia"/>
          <w:color w:val="auto"/>
          <w:sz w:val="21"/>
          <w:szCs w:val="21"/>
          <w:highlight w:val="none"/>
        </w:rPr>
        <w:t>投标文件递交地点：</w:t>
      </w:r>
      <w:r>
        <w:rPr>
          <w:rStyle w:val="36"/>
          <w:rFonts w:hint="eastAsia" w:asciiTheme="minorEastAsia" w:hAnsiTheme="minorEastAsia" w:eastAsiaTheme="minorEastAsia" w:cstheme="minorEastAsia"/>
          <w:color w:val="auto"/>
          <w:sz w:val="21"/>
          <w:szCs w:val="21"/>
          <w:highlight w:val="none"/>
          <w:lang w:eastAsia="zh-CN"/>
        </w:rPr>
        <w:t>浙江林鸥工程管理有限公司会议室（浙江省温州市瓯海区娄桥街道商汇路888号广川大厦8楼）</w:t>
      </w:r>
    </w:p>
    <w:p w14:paraId="6A775DD7">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22" w:firstLineChars="200"/>
        <w:textAlignment w:val="auto"/>
        <w:rPr>
          <w:rFonts w:hint="eastAsia" w:asciiTheme="minorEastAsia" w:hAnsiTheme="minorEastAsia" w:eastAsiaTheme="minorEastAsia" w:cstheme="minorEastAsia"/>
          <w:color w:val="auto"/>
          <w:sz w:val="21"/>
          <w:szCs w:val="21"/>
          <w:highlight w:val="none"/>
        </w:rPr>
      </w:pPr>
      <w:r>
        <w:rPr>
          <w:rStyle w:val="36"/>
          <w:rFonts w:hint="eastAsia" w:asciiTheme="minorEastAsia" w:hAnsiTheme="minorEastAsia" w:eastAsiaTheme="minorEastAsia" w:cstheme="minorEastAsia"/>
          <w:color w:val="auto"/>
          <w:sz w:val="21"/>
          <w:szCs w:val="21"/>
          <w:highlight w:val="none"/>
        </w:rPr>
        <w:t>开标时间：</w:t>
      </w:r>
      <w:r>
        <w:rPr>
          <w:rStyle w:val="36"/>
          <w:rFonts w:hint="eastAsia" w:asciiTheme="minorEastAsia" w:hAnsiTheme="minorEastAsia" w:eastAsiaTheme="minorEastAsia" w:cstheme="minorEastAsia"/>
          <w:color w:val="auto"/>
          <w:sz w:val="21"/>
          <w:szCs w:val="21"/>
          <w:highlight w:val="none"/>
          <w:lang w:eastAsia="zh-CN"/>
        </w:rPr>
        <w:t>2025年</w:t>
      </w:r>
      <w:r>
        <w:rPr>
          <w:rStyle w:val="36"/>
          <w:rFonts w:hint="eastAsia" w:asciiTheme="minorEastAsia" w:hAnsiTheme="minorEastAsia" w:eastAsiaTheme="minorEastAsia" w:cstheme="minorEastAsia"/>
          <w:color w:val="auto"/>
          <w:sz w:val="21"/>
          <w:szCs w:val="21"/>
          <w:highlight w:val="none"/>
          <w:lang w:val="en-US" w:eastAsia="zh-CN"/>
        </w:rPr>
        <w:t>07</w:t>
      </w:r>
      <w:r>
        <w:rPr>
          <w:rStyle w:val="36"/>
          <w:rFonts w:hint="eastAsia" w:asciiTheme="minorEastAsia" w:hAnsiTheme="minorEastAsia" w:eastAsiaTheme="minorEastAsia" w:cstheme="minorEastAsia"/>
          <w:color w:val="auto"/>
          <w:sz w:val="21"/>
          <w:szCs w:val="21"/>
          <w:highlight w:val="none"/>
          <w:lang w:eastAsia="zh-CN"/>
        </w:rPr>
        <w:t>月</w:t>
      </w:r>
      <w:r>
        <w:rPr>
          <w:rStyle w:val="36"/>
          <w:rFonts w:hint="eastAsia" w:asciiTheme="minorEastAsia" w:hAnsiTheme="minorEastAsia" w:eastAsiaTheme="minorEastAsia" w:cstheme="minorEastAsia"/>
          <w:color w:val="auto"/>
          <w:sz w:val="21"/>
          <w:szCs w:val="21"/>
          <w:highlight w:val="none"/>
          <w:lang w:val="en-US" w:eastAsia="zh-CN"/>
        </w:rPr>
        <w:t>30</w:t>
      </w:r>
      <w:r>
        <w:rPr>
          <w:rStyle w:val="36"/>
          <w:rFonts w:hint="eastAsia" w:asciiTheme="minorEastAsia" w:hAnsiTheme="minorEastAsia" w:eastAsiaTheme="minorEastAsia" w:cstheme="minorEastAsia"/>
          <w:color w:val="auto"/>
          <w:sz w:val="21"/>
          <w:szCs w:val="21"/>
          <w:highlight w:val="none"/>
          <w:lang w:eastAsia="zh-CN"/>
        </w:rPr>
        <w:t>日09时30分</w:t>
      </w:r>
      <w:r>
        <w:rPr>
          <w:rStyle w:val="36"/>
          <w:rFonts w:hint="eastAsia" w:asciiTheme="minorEastAsia" w:hAnsiTheme="minorEastAsia" w:eastAsiaTheme="minorEastAsia" w:cstheme="minorEastAsia"/>
          <w:color w:val="auto"/>
          <w:sz w:val="21"/>
          <w:szCs w:val="21"/>
          <w:highlight w:val="none"/>
        </w:rPr>
        <w:t>整</w:t>
      </w:r>
    </w:p>
    <w:p w14:paraId="664FF619">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22" w:firstLineChars="200"/>
        <w:textAlignment w:val="auto"/>
        <w:rPr>
          <w:rStyle w:val="36"/>
          <w:rFonts w:hint="eastAsia" w:asciiTheme="minorEastAsia" w:hAnsiTheme="minorEastAsia" w:eastAsiaTheme="minorEastAsia" w:cstheme="minorEastAsia"/>
          <w:color w:val="auto"/>
          <w:sz w:val="21"/>
          <w:szCs w:val="21"/>
          <w:highlight w:val="none"/>
          <w:lang w:eastAsia="zh-CN"/>
        </w:rPr>
      </w:pPr>
      <w:r>
        <w:rPr>
          <w:rStyle w:val="36"/>
          <w:rFonts w:hint="eastAsia" w:asciiTheme="minorEastAsia" w:hAnsiTheme="minorEastAsia" w:eastAsiaTheme="minorEastAsia" w:cstheme="minorEastAsia"/>
          <w:color w:val="auto"/>
          <w:sz w:val="21"/>
          <w:szCs w:val="21"/>
          <w:highlight w:val="none"/>
        </w:rPr>
        <w:t>开标地点：</w:t>
      </w:r>
      <w:r>
        <w:rPr>
          <w:rStyle w:val="36"/>
          <w:rFonts w:hint="eastAsia" w:asciiTheme="minorEastAsia" w:hAnsiTheme="minorEastAsia" w:eastAsiaTheme="minorEastAsia" w:cstheme="minorEastAsia"/>
          <w:color w:val="auto"/>
          <w:sz w:val="21"/>
          <w:szCs w:val="21"/>
          <w:highlight w:val="none"/>
          <w:lang w:eastAsia="zh-CN"/>
        </w:rPr>
        <w:t>浙江林鸥工程管理有限公司会议室（浙江省温州市瓯海区娄桥街道商汇路888号广川大厦8楼）</w:t>
      </w:r>
    </w:p>
    <w:p w14:paraId="1711A548">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color w:val="auto"/>
          <w:sz w:val="21"/>
          <w:szCs w:val="21"/>
          <w:highlight w:val="none"/>
        </w:rPr>
      </w:pPr>
      <w:r>
        <w:rPr>
          <w:rStyle w:val="36"/>
          <w:rFonts w:hint="eastAsia" w:asciiTheme="minorEastAsia" w:hAnsiTheme="minorEastAsia" w:eastAsiaTheme="minorEastAsia" w:cstheme="minorEastAsia"/>
          <w:color w:val="auto"/>
          <w:sz w:val="21"/>
          <w:szCs w:val="21"/>
          <w:highlight w:val="none"/>
        </w:rPr>
        <w:t>七、投标保证金及交付方式：</w:t>
      </w:r>
    </w:p>
    <w:p w14:paraId="33EACA14">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22" w:firstLineChars="200"/>
        <w:textAlignment w:val="auto"/>
        <w:rPr>
          <w:rStyle w:val="36"/>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投标保证金金额</w:t>
      </w:r>
      <w:r>
        <w:rPr>
          <w:rFonts w:hint="eastAsia" w:asciiTheme="minorEastAsia" w:hAnsiTheme="minorEastAsia" w:eastAsiaTheme="minorEastAsia" w:cstheme="minorEastAsia"/>
          <w:color w:val="auto"/>
          <w:sz w:val="21"/>
          <w:szCs w:val="21"/>
          <w:highlight w:val="none"/>
        </w:rPr>
        <w:t>：</w:t>
      </w:r>
      <w:r>
        <w:rPr>
          <w:rStyle w:val="36"/>
          <w:rFonts w:hint="eastAsia" w:asciiTheme="minorEastAsia" w:hAnsiTheme="minorEastAsia" w:eastAsiaTheme="minorEastAsia" w:cstheme="minorEastAsia"/>
          <w:color w:val="auto"/>
          <w:sz w:val="21"/>
          <w:szCs w:val="21"/>
          <w:highlight w:val="none"/>
        </w:rPr>
        <w:t>▲</w:t>
      </w:r>
      <w:r>
        <w:rPr>
          <w:rStyle w:val="36"/>
          <w:rFonts w:hint="eastAsia" w:asciiTheme="minorEastAsia" w:hAnsiTheme="minorEastAsia" w:eastAsiaTheme="minorEastAsia" w:cstheme="minorEastAsia"/>
          <w:color w:val="auto"/>
          <w:sz w:val="21"/>
          <w:szCs w:val="21"/>
          <w:highlight w:val="none"/>
          <w:u w:val="single"/>
        </w:rPr>
        <w:t>人民币</w:t>
      </w:r>
      <w:r>
        <w:rPr>
          <w:rStyle w:val="36"/>
          <w:rFonts w:hint="eastAsia" w:asciiTheme="minorEastAsia" w:hAnsiTheme="minorEastAsia" w:eastAsiaTheme="minorEastAsia" w:cstheme="minorEastAsia"/>
          <w:color w:val="auto"/>
          <w:sz w:val="21"/>
          <w:szCs w:val="21"/>
          <w:highlight w:val="none"/>
          <w:u w:val="single"/>
          <w:lang w:val="en-US" w:eastAsia="zh-CN"/>
        </w:rPr>
        <w:t>柒仟</w:t>
      </w:r>
      <w:r>
        <w:rPr>
          <w:rStyle w:val="36"/>
          <w:rFonts w:hint="eastAsia" w:asciiTheme="minorEastAsia" w:hAnsiTheme="minorEastAsia" w:eastAsiaTheme="minorEastAsia" w:cstheme="minorEastAsia"/>
          <w:color w:val="auto"/>
          <w:sz w:val="21"/>
          <w:szCs w:val="21"/>
          <w:highlight w:val="none"/>
          <w:u w:val="single"/>
        </w:rPr>
        <w:t>元整（投标人须在投标截止时间前将投标保证金以银行转帐形式缴纳并到帐，汇出账号须为投标人银行帐户）。</w:t>
      </w:r>
    </w:p>
    <w:p w14:paraId="3F91462B">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22" w:firstLineChars="200"/>
        <w:textAlignment w:val="auto"/>
        <w:rPr>
          <w:rStyle w:val="36"/>
          <w:rFonts w:hint="eastAsia" w:asciiTheme="minorEastAsia" w:hAnsiTheme="minorEastAsia" w:eastAsiaTheme="minorEastAsia" w:cstheme="minorEastAsia"/>
          <w:color w:val="auto"/>
          <w:sz w:val="21"/>
          <w:szCs w:val="21"/>
          <w:highlight w:val="none"/>
          <w:lang w:eastAsia="zh-CN"/>
        </w:rPr>
      </w:pPr>
      <w:r>
        <w:rPr>
          <w:rStyle w:val="36"/>
          <w:rFonts w:hint="eastAsia" w:asciiTheme="minorEastAsia" w:hAnsiTheme="minorEastAsia" w:eastAsiaTheme="minorEastAsia" w:cstheme="minorEastAsia"/>
          <w:color w:val="auto"/>
          <w:sz w:val="21"/>
          <w:szCs w:val="21"/>
          <w:highlight w:val="none"/>
        </w:rPr>
        <w:t>户名：</w:t>
      </w:r>
      <w:r>
        <w:rPr>
          <w:rStyle w:val="36"/>
          <w:rFonts w:hint="eastAsia" w:asciiTheme="minorEastAsia" w:hAnsiTheme="minorEastAsia" w:eastAsiaTheme="minorEastAsia" w:cstheme="minorEastAsia"/>
          <w:color w:val="auto"/>
          <w:sz w:val="21"/>
          <w:szCs w:val="21"/>
          <w:highlight w:val="none"/>
          <w:lang w:eastAsia="zh-CN"/>
        </w:rPr>
        <w:t>浙江林鸥工程管理有限公司</w:t>
      </w:r>
    </w:p>
    <w:p w14:paraId="65304D47">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22" w:firstLineChars="200"/>
        <w:textAlignment w:val="auto"/>
        <w:rPr>
          <w:rStyle w:val="36"/>
          <w:rFonts w:hint="eastAsia" w:asciiTheme="minorEastAsia" w:hAnsiTheme="minorEastAsia" w:eastAsiaTheme="minorEastAsia" w:cstheme="minorEastAsia"/>
          <w:color w:val="auto"/>
          <w:sz w:val="21"/>
          <w:szCs w:val="21"/>
          <w:highlight w:val="none"/>
          <w:lang w:eastAsia="zh-CN"/>
        </w:rPr>
      </w:pPr>
      <w:r>
        <w:rPr>
          <w:rStyle w:val="36"/>
          <w:rFonts w:hint="eastAsia" w:asciiTheme="minorEastAsia" w:hAnsiTheme="minorEastAsia" w:eastAsiaTheme="minorEastAsia" w:cstheme="minorEastAsia"/>
          <w:color w:val="auto"/>
          <w:sz w:val="21"/>
          <w:szCs w:val="21"/>
          <w:highlight w:val="none"/>
        </w:rPr>
        <w:t>账号：</w:t>
      </w:r>
      <w:r>
        <w:rPr>
          <w:rStyle w:val="36"/>
          <w:rFonts w:hint="eastAsia" w:asciiTheme="minorEastAsia" w:hAnsiTheme="minorEastAsia" w:eastAsiaTheme="minorEastAsia" w:cstheme="minorEastAsia"/>
          <w:color w:val="auto"/>
          <w:sz w:val="21"/>
          <w:szCs w:val="21"/>
          <w:highlight w:val="none"/>
          <w:lang w:eastAsia="zh-CN"/>
        </w:rPr>
        <w:t>333508240013000209159</w:t>
      </w:r>
    </w:p>
    <w:p w14:paraId="597AC324">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22" w:firstLineChars="200"/>
        <w:textAlignment w:val="auto"/>
        <w:rPr>
          <w:rFonts w:hint="eastAsia" w:asciiTheme="minorEastAsia" w:hAnsiTheme="minorEastAsia" w:eastAsiaTheme="minorEastAsia" w:cstheme="minorEastAsia"/>
          <w:color w:val="auto"/>
          <w:sz w:val="21"/>
          <w:szCs w:val="21"/>
          <w:highlight w:val="none"/>
          <w:lang w:eastAsia="zh-CN"/>
        </w:rPr>
      </w:pPr>
      <w:r>
        <w:rPr>
          <w:rStyle w:val="36"/>
          <w:rFonts w:hint="eastAsia" w:asciiTheme="minorEastAsia" w:hAnsiTheme="minorEastAsia" w:eastAsiaTheme="minorEastAsia" w:cstheme="minorEastAsia"/>
          <w:color w:val="auto"/>
          <w:sz w:val="21"/>
          <w:szCs w:val="21"/>
          <w:highlight w:val="none"/>
        </w:rPr>
        <w:t>开户行：</w:t>
      </w:r>
      <w:r>
        <w:rPr>
          <w:rStyle w:val="36"/>
          <w:rFonts w:hint="eastAsia" w:asciiTheme="minorEastAsia" w:hAnsiTheme="minorEastAsia" w:eastAsiaTheme="minorEastAsia" w:cstheme="minorEastAsia"/>
          <w:color w:val="auto"/>
          <w:sz w:val="21"/>
          <w:szCs w:val="21"/>
          <w:highlight w:val="none"/>
          <w:lang w:eastAsia="zh-CN"/>
        </w:rPr>
        <w:t>交通银行开发区支行</w:t>
      </w:r>
    </w:p>
    <w:p w14:paraId="024017FE">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color w:val="auto"/>
          <w:sz w:val="21"/>
          <w:szCs w:val="21"/>
          <w:highlight w:val="none"/>
        </w:rPr>
      </w:pPr>
      <w:r>
        <w:rPr>
          <w:rStyle w:val="36"/>
          <w:rFonts w:hint="eastAsia" w:asciiTheme="minorEastAsia" w:hAnsiTheme="minorEastAsia" w:eastAsiaTheme="minorEastAsia" w:cstheme="minorEastAsia"/>
          <w:color w:val="auto"/>
          <w:sz w:val="21"/>
          <w:szCs w:val="21"/>
          <w:highlight w:val="none"/>
        </w:rPr>
        <w:t>八、其他事项：</w:t>
      </w:r>
    </w:p>
    <w:p w14:paraId="750AD000">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1、本公告有效期自公告发布之日起7个日历天；</w:t>
      </w:r>
    </w:p>
    <w:p w14:paraId="301F8770">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u w:val="single"/>
        </w:rPr>
        <w:t>投标人认为采购文件使自己的权益受到损害的，可以自采购公告期限届满之日内，以书面形式向采购人和采购代理机构提出质疑。质疑投标供应商对采购人、采购代理机构的答复不满意或者采购人、采购代理机构未在规定的时间内作出答复的，可以在答复期满后15个工作日内向采购监督管理部门投诉</w:t>
      </w:r>
      <w:r>
        <w:rPr>
          <w:rFonts w:hint="eastAsia" w:asciiTheme="minorEastAsia" w:hAnsiTheme="minorEastAsia" w:eastAsiaTheme="minorEastAsia" w:cstheme="minorEastAsia"/>
          <w:color w:val="auto"/>
          <w:sz w:val="21"/>
          <w:szCs w:val="21"/>
          <w:highlight w:val="none"/>
          <w:u w:val="single"/>
          <w:lang w:val="en-US" w:eastAsia="zh-CN"/>
        </w:rPr>
        <w:t>。</w:t>
      </w:r>
    </w:p>
    <w:p w14:paraId="02C1C9A5">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u w:val="single"/>
          <w:lang w:eastAsia="zh-CN"/>
        </w:rPr>
        <w:t>温州交运集团泰顺有限公司负责对投标人反映的企业本部及所属企业在采购活动中出现的违法违规问题进行答疑回复。投标人认为答疑回复处理结果不合法的，可以采购人或代理机构为对象依法向人民法院提起诉讼</w:t>
      </w:r>
      <w:r>
        <w:rPr>
          <w:rFonts w:hint="eastAsia" w:asciiTheme="minorEastAsia" w:hAnsiTheme="minorEastAsia" w:eastAsiaTheme="minorEastAsia" w:cstheme="minorEastAsia"/>
          <w:color w:val="auto"/>
          <w:sz w:val="21"/>
          <w:szCs w:val="21"/>
          <w:highlight w:val="none"/>
          <w:u w:val="single"/>
        </w:rPr>
        <w:t>。</w:t>
      </w:r>
    </w:p>
    <w:p w14:paraId="3D8C9A20">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35"/>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、书面质疑受理地点：</w:t>
      </w:r>
      <w:r>
        <w:rPr>
          <w:rFonts w:hint="eastAsia" w:asciiTheme="minorEastAsia" w:hAnsiTheme="minorEastAsia" w:eastAsiaTheme="minorEastAsia" w:cstheme="minorEastAsia"/>
          <w:color w:val="auto"/>
          <w:sz w:val="21"/>
          <w:szCs w:val="21"/>
          <w:highlight w:val="none"/>
          <w:lang w:eastAsia="zh-CN"/>
        </w:rPr>
        <w:t>浙江省温州市瓯海区娄桥街道商汇路888号广川大厦8楼</w:t>
      </w:r>
      <w:r>
        <w:rPr>
          <w:rFonts w:hint="eastAsia" w:asciiTheme="minorEastAsia" w:hAnsiTheme="minorEastAsia" w:eastAsiaTheme="minorEastAsia" w:cstheme="minorEastAsia"/>
          <w:color w:val="auto"/>
          <w:sz w:val="21"/>
          <w:szCs w:val="21"/>
          <w:highlight w:val="none"/>
        </w:rPr>
        <w:t>，联系人：</w:t>
      </w:r>
      <w:r>
        <w:rPr>
          <w:rFonts w:hint="eastAsia" w:asciiTheme="minorEastAsia" w:hAnsiTheme="minorEastAsia" w:eastAsiaTheme="minorEastAsia" w:cstheme="minorEastAsia"/>
          <w:color w:val="auto"/>
          <w:sz w:val="21"/>
          <w:szCs w:val="21"/>
          <w:highlight w:val="none"/>
          <w:lang w:eastAsia="zh-CN"/>
        </w:rPr>
        <w:t>金先生</w:t>
      </w:r>
      <w:r>
        <w:rPr>
          <w:rFonts w:hint="eastAsia" w:asciiTheme="minorEastAsia" w:hAnsiTheme="minorEastAsia" w:eastAsiaTheme="minorEastAsia" w:cstheme="minorEastAsia"/>
          <w:color w:val="auto"/>
          <w:sz w:val="21"/>
          <w:szCs w:val="21"/>
          <w:highlight w:val="none"/>
        </w:rPr>
        <w:t>，联系电话：</w:t>
      </w:r>
      <w:r>
        <w:rPr>
          <w:rFonts w:hint="eastAsia" w:asciiTheme="minorEastAsia" w:hAnsiTheme="minorEastAsia" w:eastAsiaTheme="minorEastAsia" w:cstheme="minorEastAsia"/>
          <w:color w:val="auto"/>
          <w:sz w:val="21"/>
          <w:szCs w:val="21"/>
          <w:highlight w:val="none"/>
          <w:lang w:eastAsia="zh-CN"/>
        </w:rPr>
        <w:t>15088555258</w:t>
      </w:r>
      <w:r>
        <w:rPr>
          <w:rFonts w:hint="eastAsia" w:asciiTheme="minorEastAsia" w:hAnsiTheme="minorEastAsia" w:eastAsiaTheme="minorEastAsia" w:cstheme="minorEastAsia"/>
          <w:color w:val="auto"/>
          <w:sz w:val="21"/>
          <w:szCs w:val="21"/>
          <w:highlight w:val="none"/>
        </w:rPr>
        <w:t>。</w:t>
      </w:r>
    </w:p>
    <w:p w14:paraId="1CB04EFF">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color w:val="auto"/>
          <w:sz w:val="21"/>
          <w:szCs w:val="21"/>
          <w:highlight w:val="none"/>
        </w:rPr>
      </w:pPr>
      <w:r>
        <w:rPr>
          <w:rStyle w:val="36"/>
          <w:rFonts w:hint="eastAsia" w:asciiTheme="minorEastAsia" w:hAnsiTheme="minorEastAsia" w:eastAsiaTheme="minorEastAsia" w:cstheme="minorEastAsia"/>
          <w:color w:val="auto"/>
          <w:sz w:val="21"/>
          <w:szCs w:val="21"/>
          <w:highlight w:val="none"/>
        </w:rPr>
        <w:t>九、联系方式</w:t>
      </w:r>
    </w:p>
    <w:p w14:paraId="700A68DF">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1、采购人</w:t>
      </w:r>
      <w:r>
        <w:rPr>
          <w:rFonts w:hint="eastAsia" w:asciiTheme="minorEastAsia" w:hAnsiTheme="minorEastAsia" w:eastAsiaTheme="minorEastAsia" w:cstheme="minorEastAsia"/>
          <w:color w:val="auto"/>
          <w:spacing w:val="45"/>
          <w:sz w:val="21"/>
          <w:szCs w:val="21"/>
          <w:highlight w:val="none"/>
        </w:rPr>
        <w:t>：</w:t>
      </w:r>
      <w:r>
        <w:rPr>
          <w:rFonts w:hint="eastAsia" w:asciiTheme="minorEastAsia" w:hAnsiTheme="minorEastAsia" w:eastAsiaTheme="minorEastAsia" w:cstheme="minorEastAsia"/>
          <w:color w:val="auto"/>
          <w:sz w:val="21"/>
          <w:szCs w:val="21"/>
          <w:highlight w:val="none"/>
          <w:lang w:eastAsia="zh-CN"/>
        </w:rPr>
        <w:t>温州交运集团泰顺有限公司</w:t>
      </w:r>
    </w:p>
    <w:p w14:paraId="5BB2EBF5">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地址：</w:t>
      </w:r>
      <w:r>
        <w:rPr>
          <w:rFonts w:hint="eastAsia" w:asciiTheme="minorEastAsia" w:hAnsiTheme="minorEastAsia" w:eastAsiaTheme="minorEastAsia" w:cstheme="minorEastAsia"/>
          <w:color w:val="auto"/>
          <w:sz w:val="21"/>
          <w:szCs w:val="21"/>
          <w:highlight w:val="none"/>
          <w:lang w:eastAsia="zh-CN"/>
        </w:rPr>
        <w:t>浙江省温州市泰顺县泰庆北路438号</w:t>
      </w:r>
    </w:p>
    <w:p w14:paraId="722306E3">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联系人：</w:t>
      </w:r>
      <w:r>
        <w:rPr>
          <w:rFonts w:hint="eastAsia" w:asciiTheme="minorEastAsia" w:hAnsiTheme="minorEastAsia" w:eastAsiaTheme="minorEastAsia" w:cstheme="minorEastAsia"/>
          <w:color w:val="auto"/>
          <w:sz w:val="21"/>
          <w:szCs w:val="21"/>
          <w:highlight w:val="none"/>
          <w:lang w:val="en-US" w:eastAsia="zh-CN"/>
        </w:rPr>
        <w:t>朱先生</w:t>
      </w:r>
    </w:p>
    <w:p w14:paraId="5056278D">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35"/>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联系电话：</w:t>
      </w:r>
      <w:r>
        <w:rPr>
          <w:rFonts w:hint="eastAsia" w:asciiTheme="minorEastAsia" w:hAnsiTheme="minorEastAsia" w:eastAsiaTheme="minorEastAsia" w:cstheme="minorEastAsia"/>
          <w:color w:val="auto"/>
          <w:sz w:val="21"/>
          <w:szCs w:val="21"/>
          <w:highlight w:val="none"/>
          <w:lang w:eastAsia="zh-CN"/>
        </w:rPr>
        <w:t>17816064590</w:t>
      </w:r>
    </w:p>
    <w:p w14:paraId="0C538802">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2、采购代理机构：</w:t>
      </w:r>
      <w:r>
        <w:rPr>
          <w:rFonts w:hint="eastAsia" w:asciiTheme="minorEastAsia" w:hAnsiTheme="minorEastAsia" w:eastAsiaTheme="minorEastAsia" w:cstheme="minorEastAsia"/>
          <w:color w:val="auto"/>
          <w:sz w:val="21"/>
          <w:szCs w:val="21"/>
          <w:highlight w:val="none"/>
          <w:lang w:eastAsia="zh-CN"/>
        </w:rPr>
        <w:t>浙江林鸥工程管理有限公司</w:t>
      </w:r>
    </w:p>
    <w:p w14:paraId="0B56163E">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地址：</w:t>
      </w:r>
      <w:r>
        <w:rPr>
          <w:rFonts w:hint="eastAsia" w:asciiTheme="minorEastAsia" w:hAnsiTheme="minorEastAsia" w:eastAsiaTheme="minorEastAsia" w:cstheme="minorEastAsia"/>
          <w:color w:val="auto"/>
          <w:sz w:val="21"/>
          <w:szCs w:val="21"/>
          <w:highlight w:val="none"/>
          <w:lang w:eastAsia="zh-CN"/>
        </w:rPr>
        <w:t>浙江省温州市瓯海区娄桥街道商汇路888号广川大厦8楼</w:t>
      </w:r>
    </w:p>
    <w:p w14:paraId="7AE896CA">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联系人：</w:t>
      </w:r>
      <w:r>
        <w:rPr>
          <w:rFonts w:hint="eastAsia" w:asciiTheme="minorEastAsia" w:hAnsiTheme="minorEastAsia" w:eastAsiaTheme="minorEastAsia" w:cstheme="minorEastAsia"/>
          <w:color w:val="auto"/>
          <w:sz w:val="21"/>
          <w:szCs w:val="21"/>
          <w:highlight w:val="none"/>
          <w:lang w:eastAsia="zh-CN"/>
        </w:rPr>
        <w:t>金先生</w:t>
      </w:r>
    </w:p>
    <w:p w14:paraId="74AD89CA">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 xml:space="preserve">电话： </w:t>
      </w:r>
      <w:r>
        <w:rPr>
          <w:rFonts w:hint="eastAsia" w:asciiTheme="minorEastAsia" w:hAnsiTheme="minorEastAsia" w:eastAsiaTheme="minorEastAsia" w:cstheme="minorEastAsia"/>
          <w:color w:val="auto"/>
          <w:sz w:val="21"/>
          <w:szCs w:val="21"/>
          <w:highlight w:val="none"/>
          <w:lang w:eastAsia="zh-CN"/>
        </w:rPr>
        <w:t>15088555258</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0577-86126350</w:t>
      </w:r>
    </w:p>
    <w:p w14:paraId="799F3232">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3、采购监督管理部门：</w:t>
      </w:r>
      <w:r>
        <w:rPr>
          <w:rFonts w:hint="eastAsia" w:asciiTheme="minorEastAsia" w:hAnsiTheme="minorEastAsia" w:eastAsiaTheme="minorEastAsia" w:cstheme="minorEastAsia"/>
          <w:color w:val="auto"/>
          <w:sz w:val="21"/>
          <w:szCs w:val="21"/>
          <w:highlight w:val="none"/>
          <w:lang w:eastAsia="zh-CN"/>
        </w:rPr>
        <w:t>温州交运集团泰顺有限公司综合办公室（监察室）</w:t>
      </w:r>
    </w:p>
    <w:p w14:paraId="657CB970">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20"/>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联系人：雷女士</w:t>
      </w:r>
    </w:p>
    <w:p w14:paraId="1111D6A3">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20"/>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联系方式：</w:t>
      </w:r>
      <w:r>
        <w:rPr>
          <w:rFonts w:hint="eastAsia" w:asciiTheme="minorEastAsia" w:hAnsiTheme="minorEastAsia" w:eastAsiaTheme="minorEastAsia" w:cstheme="minorEastAsia"/>
          <w:color w:val="auto"/>
          <w:sz w:val="21"/>
          <w:szCs w:val="21"/>
          <w:highlight w:val="none"/>
          <w:lang w:eastAsia="zh-CN"/>
        </w:rPr>
        <w:t>0577-67596878</w:t>
      </w:r>
    </w:p>
    <w:p w14:paraId="0F58B5CC">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20"/>
        <w:jc w:val="righ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温州交运集团泰顺有限公司</w:t>
      </w:r>
    </w:p>
    <w:p w14:paraId="54F7964D">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35"/>
        <w:jc w:val="righ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浙江林鸥工程管理有限公司</w:t>
      </w:r>
    </w:p>
    <w:p w14:paraId="38F3834E">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35"/>
        <w:jc w:val="right"/>
        <w:textAlignment w:val="auto"/>
        <w:rPr>
          <w:rFonts w:hint="eastAsia" w:asciiTheme="minorEastAsia" w:hAnsiTheme="minorEastAsia" w:eastAsiaTheme="minorEastAsia" w:cstheme="minorEastAsia"/>
          <w:b/>
          <w:color w:val="auto"/>
          <w:kern w:val="44"/>
          <w:sz w:val="32"/>
          <w:szCs w:val="32"/>
          <w:highlight w:val="none"/>
          <w:lang w:bidi="ar-SA"/>
        </w:rPr>
      </w:pPr>
      <w:r>
        <w:rPr>
          <w:rFonts w:hint="eastAsia" w:asciiTheme="minorEastAsia" w:hAnsiTheme="minorEastAsia" w:eastAsiaTheme="minorEastAsia" w:cstheme="minorEastAsia"/>
          <w:color w:val="auto"/>
          <w:sz w:val="21"/>
          <w:szCs w:val="21"/>
          <w:highlight w:val="none"/>
        </w:rPr>
        <w:t>202</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eastAsia="zh-CN"/>
        </w:rPr>
        <w:t>07</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17</w:t>
      </w:r>
      <w:r>
        <w:rPr>
          <w:rFonts w:hint="eastAsia" w:asciiTheme="minorEastAsia" w:hAnsiTheme="minorEastAsia" w:eastAsiaTheme="minorEastAsia" w:cstheme="minorEastAsia"/>
          <w:color w:val="auto"/>
          <w:sz w:val="21"/>
          <w:szCs w:val="21"/>
          <w:highlight w:val="none"/>
        </w:rPr>
        <w:t>日</w:t>
      </w:r>
      <w:r>
        <w:rPr>
          <w:rFonts w:hint="eastAsia" w:asciiTheme="minorEastAsia" w:hAnsiTheme="minorEastAsia" w:eastAsiaTheme="minorEastAsia" w:cstheme="minorEastAsia"/>
          <w:b/>
          <w:color w:val="auto"/>
          <w:kern w:val="44"/>
          <w:sz w:val="32"/>
          <w:szCs w:val="32"/>
          <w:highlight w:val="none"/>
          <w:lang w:bidi="ar-SA"/>
        </w:rPr>
        <w:br w:type="page"/>
      </w:r>
    </w:p>
    <w:p w14:paraId="58B341AA">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bCs/>
          <w:color w:val="auto"/>
          <w:kern w:val="2"/>
          <w:sz w:val="32"/>
          <w:szCs w:val="32"/>
          <w:highlight w:val="none"/>
          <w:lang w:val="en-US" w:eastAsia="zh-CN" w:bidi="ar-SA"/>
        </w:rPr>
      </w:pPr>
      <w:r>
        <w:rPr>
          <w:rFonts w:hint="eastAsia" w:asciiTheme="minorEastAsia" w:hAnsiTheme="minorEastAsia" w:eastAsiaTheme="minorEastAsia" w:cstheme="minorEastAsia"/>
          <w:b/>
          <w:color w:val="auto"/>
          <w:kern w:val="44"/>
          <w:sz w:val="32"/>
          <w:szCs w:val="32"/>
          <w:highlight w:val="none"/>
          <w:lang w:bidi="ar-SA"/>
        </w:rPr>
        <w:t>温州市交运集团所属</w:t>
      </w:r>
      <w:r>
        <w:rPr>
          <w:rFonts w:hint="eastAsia" w:asciiTheme="minorEastAsia" w:hAnsiTheme="minorEastAsia" w:eastAsiaTheme="minorEastAsia" w:cstheme="minorEastAsia"/>
          <w:b/>
          <w:color w:val="auto"/>
          <w:kern w:val="44"/>
          <w:sz w:val="32"/>
          <w:szCs w:val="32"/>
          <w:highlight w:val="none"/>
          <w:lang w:eastAsia="zh-CN" w:bidi="ar-SA"/>
        </w:rPr>
        <w:t>温州交运集团泰顺有限公司</w:t>
      </w:r>
      <w:r>
        <w:rPr>
          <w:rFonts w:hint="eastAsia" w:asciiTheme="minorEastAsia" w:hAnsiTheme="minorEastAsia" w:eastAsiaTheme="minorEastAsia" w:cstheme="minorEastAsia"/>
          <w:b/>
          <w:color w:val="auto"/>
          <w:kern w:val="44"/>
          <w:sz w:val="32"/>
          <w:szCs w:val="32"/>
          <w:highlight w:val="none"/>
          <w:lang w:bidi="ar-SA"/>
        </w:rPr>
        <w:t>关于</w:t>
      </w:r>
      <w:r>
        <w:rPr>
          <w:rFonts w:hint="eastAsia" w:asciiTheme="minorEastAsia" w:hAnsiTheme="minorEastAsia" w:eastAsiaTheme="minorEastAsia" w:cstheme="minorEastAsia"/>
          <w:b/>
          <w:color w:val="auto"/>
          <w:kern w:val="44"/>
          <w:sz w:val="32"/>
          <w:szCs w:val="32"/>
          <w:highlight w:val="none"/>
          <w:lang w:eastAsia="zh-CN" w:bidi="ar-SA"/>
        </w:rPr>
        <w:t>气象预警服务平台项目研发</w:t>
      </w:r>
      <w:r>
        <w:rPr>
          <w:rFonts w:hint="eastAsia" w:asciiTheme="minorEastAsia" w:hAnsiTheme="minorEastAsia" w:eastAsiaTheme="minorEastAsia" w:cstheme="minorEastAsia"/>
          <w:b/>
          <w:color w:val="auto"/>
          <w:kern w:val="44"/>
          <w:sz w:val="32"/>
          <w:szCs w:val="32"/>
          <w:highlight w:val="none"/>
          <w:lang w:bidi="ar-SA"/>
        </w:rPr>
        <w:t>项目</w:t>
      </w:r>
      <w:r>
        <w:rPr>
          <w:rFonts w:hint="eastAsia" w:asciiTheme="minorEastAsia" w:hAnsiTheme="minorEastAsia" w:eastAsiaTheme="minorEastAsia" w:cstheme="minorEastAsia"/>
          <w:b/>
          <w:color w:val="auto"/>
          <w:kern w:val="44"/>
          <w:sz w:val="32"/>
          <w:szCs w:val="32"/>
          <w:highlight w:val="none"/>
          <w:lang w:eastAsia="zh-CN" w:bidi="ar-SA"/>
        </w:rPr>
        <w:t>（</w:t>
      </w:r>
      <w:r>
        <w:rPr>
          <w:rFonts w:hint="eastAsia" w:asciiTheme="minorEastAsia" w:hAnsiTheme="minorEastAsia" w:eastAsiaTheme="minorEastAsia" w:cstheme="minorEastAsia"/>
          <w:b/>
          <w:color w:val="auto"/>
          <w:kern w:val="44"/>
          <w:sz w:val="32"/>
          <w:szCs w:val="32"/>
          <w:highlight w:val="none"/>
          <w:lang w:val="en-US" w:eastAsia="zh-CN" w:bidi="ar-SA"/>
        </w:rPr>
        <w:t>自主</w:t>
      </w:r>
      <w:r>
        <w:rPr>
          <w:rFonts w:hint="eastAsia" w:asciiTheme="minorEastAsia" w:hAnsiTheme="minorEastAsia" w:eastAsiaTheme="minorEastAsia" w:cstheme="minorEastAsia"/>
          <w:b/>
          <w:color w:val="auto"/>
          <w:kern w:val="44"/>
          <w:sz w:val="32"/>
          <w:szCs w:val="32"/>
          <w:highlight w:val="none"/>
          <w:lang w:eastAsia="zh-CN" w:bidi="ar-SA"/>
        </w:rPr>
        <w:t>）</w:t>
      </w:r>
      <w:r>
        <w:rPr>
          <w:rFonts w:hint="eastAsia" w:asciiTheme="minorEastAsia" w:hAnsiTheme="minorEastAsia" w:eastAsiaTheme="minorEastAsia" w:cstheme="minorEastAsia"/>
          <w:b/>
          <w:color w:val="auto"/>
          <w:kern w:val="44"/>
          <w:sz w:val="32"/>
          <w:szCs w:val="32"/>
          <w:highlight w:val="none"/>
          <w:lang w:bidi="ar-SA"/>
        </w:rPr>
        <w:t>的</w:t>
      </w:r>
      <w:r>
        <w:rPr>
          <w:rFonts w:hint="eastAsia" w:asciiTheme="minorEastAsia" w:hAnsiTheme="minorEastAsia" w:eastAsiaTheme="minorEastAsia" w:cstheme="minorEastAsia"/>
          <w:b/>
          <w:bCs/>
          <w:color w:val="auto"/>
          <w:kern w:val="2"/>
          <w:sz w:val="32"/>
          <w:szCs w:val="32"/>
          <w:highlight w:val="none"/>
          <w:lang w:val="en-US" w:eastAsia="zh-CN" w:bidi="ar-SA"/>
        </w:rPr>
        <w:t>征求意见公示</w:t>
      </w:r>
    </w:p>
    <w:p w14:paraId="31EF7302">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浙江林鸥工程管理有限公司</w:t>
      </w:r>
      <w:r>
        <w:rPr>
          <w:rFonts w:hint="eastAsia" w:asciiTheme="minorEastAsia" w:hAnsiTheme="minorEastAsia" w:eastAsiaTheme="minorEastAsia" w:cstheme="minorEastAsia"/>
          <w:color w:val="auto"/>
          <w:sz w:val="21"/>
          <w:szCs w:val="21"/>
          <w:highlight w:val="none"/>
          <w:lang w:val="en-US" w:eastAsia="zh-CN"/>
        </w:rPr>
        <w:t>受</w:t>
      </w:r>
      <w:r>
        <w:rPr>
          <w:rFonts w:hint="eastAsia" w:asciiTheme="minorEastAsia" w:hAnsiTheme="minorEastAsia" w:eastAsiaTheme="minorEastAsia" w:cstheme="minorEastAsia"/>
          <w:color w:val="auto"/>
          <w:sz w:val="21"/>
          <w:szCs w:val="21"/>
          <w:highlight w:val="none"/>
          <w:lang w:eastAsia="zh-CN"/>
        </w:rPr>
        <w:t>温州交运集团泰顺有限公司</w:t>
      </w:r>
      <w:r>
        <w:rPr>
          <w:rFonts w:hint="eastAsia" w:asciiTheme="minorEastAsia" w:hAnsiTheme="minorEastAsia" w:eastAsiaTheme="minorEastAsia" w:cstheme="minorEastAsia"/>
          <w:color w:val="auto"/>
          <w:sz w:val="21"/>
          <w:szCs w:val="21"/>
          <w:highlight w:val="none"/>
          <w:lang w:val="en-US" w:eastAsia="zh-CN"/>
        </w:rPr>
        <w:t>的委托，就</w:t>
      </w:r>
      <w:r>
        <w:rPr>
          <w:rFonts w:hint="eastAsia" w:asciiTheme="minorEastAsia" w:hAnsiTheme="minorEastAsia" w:eastAsiaTheme="minorEastAsia" w:cstheme="minorEastAsia"/>
          <w:color w:val="auto"/>
          <w:sz w:val="21"/>
          <w:szCs w:val="21"/>
          <w:highlight w:val="none"/>
          <w:lang w:eastAsia="zh-CN"/>
        </w:rPr>
        <w:t>气象预警服务平台项目研发</w:t>
      </w:r>
      <w:r>
        <w:rPr>
          <w:rFonts w:hint="eastAsia" w:asciiTheme="minorEastAsia" w:hAnsiTheme="minorEastAsia" w:eastAsiaTheme="minorEastAsia" w:cstheme="minorEastAsia"/>
          <w:color w:val="auto"/>
          <w:sz w:val="21"/>
          <w:szCs w:val="21"/>
          <w:highlight w:val="none"/>
        </w:rPr>
        <w:t>以公开招标方式进行国企采购。现将采购文件公布如下，并公开征求投标人及专家意见。</w:t>
      </w:r>
    </w:p>
    <w:p w14:paraId="050F0BF6">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一、征求意见范围：</w:t>
      </w:r>
    </w:p>
    <w:p w14:paraId="6AEC3C36">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1、是否出现明显的倾向性意见和特定的性能指标；</w:t>
      </w:r>
    </w:p>
    <w:p w14:paraId="707EF7AD">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2、投标人资格条件是否具有明显倾向性和歧视性；</w:t>
      </w:r>
    </w:p>
    <w:p w14:paraId="423B7837">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3、影响国企采购“公开、公平、公正”原则的其他情况。</w:t>
      </w:r>
    </w:p>
    <w:p w14:paraId="637EA812">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二、征求意见的回复：</w:t>
      </w:r>
    </w:p>
    <w:p w14:paraId="05EBAA41">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各投标人及专家提出修改理由和建议的，请于202</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eastAsia="zh-CN"/>
        </w:rPr>
        <w:t>07</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23</w:t>
      </w:r>
      <w:r>
        <w:rPr>
          <w:rFonts w:hint="eastAsia" w:asciiTheme="minorEastAsia" w:hAnsiTheme="minorEastAsia" w:eastAsiaTheme="minorEastAsia" w:cstheme="minorEastAsia"/>
          <w:color w:val="auto"/>
          <w:sz w:val="21"/>
          <w:szCs w:val="21"/>
          <w:highlight w:val="none"/>
        </w:rPr>
        <w:t>日17:00前（节假日除外）将书面材料签字（盖章）并密封后送至</w:t>
      </w:r>
      <w:r>
        <w:rPr>
          <w:rFonts w:hint="eastAsia" w:asciiTheme="minorEastAsia" w:hAnsiTheme="minorEastAsia" w:eastAsiaTheme="minorEastAsia" w:cstheme="minorEastAsia"/>
          <w:color w:val="auto"/>
          <w:sz w:val="21"/>
          <w:szCs w:val="21"/>
          <w:highlight w:val="none"/>
          <w:lang w:eastAsia="zh-CN"/>
        </w:rPr>
        <w:t>浙江省温州市瓯海区娄桥街道商汇路888号广川大厦8楼</w:t>
      </w:r>
      <w:r>
        <w:rPr>
          <w:rFonts w:hint="eastAsia" w:asciiTheme="minorEastAsia" w:hAnsiTheme="minorEastAsia" w:eastAsiaTheme="minorEastAsia" w:cstheme="minorEastAsia"/>
          <w:color w:val="auto"/>
          <w:sz w:val="21"/>
          <w:szCs w:val="21"/>
          <w:highlight w:val="none"/>
        </w:rPr>
        <w:t>。同时将电子文档发送至以下信箱：</w:t>
      </w:r>
      <w:r>
        <w:rPr>
          <w:rFonts w:hint="eastAsia" w:asciiTheme="minorEastAsia" w:hAnsiTheme="minorEastAsia" w:eastAsiaTheme="minorEastAsia" w:cstheme="minorEastAsia"/>
          <w:color w:val="auto"/>
          <w:sz w:val="21"/>
          <w:szCs w:val="21"/>
          <w:highlight w:val="none"/>
          <w:lang w:eastAsia="zh-CN"/>
        </w:rPr>
        <w:t>358801740@qq.com</w:t>
      </w:r>
      <w:r>
        <w:rPr>
          <w:rFonts w:hint="eastAsia" w:asciiTheme="minorEastAsia" w:hAnsiTheme="minorEastAsia" w:eastAsiaTheme="minorEastAsia" w:cstheme="minorEastAsia"/>
          <w:color w:val="auto"/>
          <w:sz w:val="21"/>
          <w:szCs w:val="21"/>
          <w:highlight w:val="none"/>
        </w:rPr>
        <w:t>。</w:t>
      </w:r>
    </w:p>
    <w:p w14:paraId="7CBAA077">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联系人：</w:t>
      </w:r>
      <w:r>
        <w:rPr>
          <w:rFonts w:hint="eastAsia" w:asciiTheme="minorEastAsia" w:hAnsiTheme="minorEastAsia" w:eastAsiaTheme="minorEastAsia" w:cstheme="minorEastAsia"/>
          <w:color w:val="auto"/>
          <w:sz w:val="21"/>
          <w:szCs w:val="21"/>
          <w:highlight w:val="none"/>
          <w:lang w:eastAsia="zh-CN"/>
        </w:rPr>
        <w:t>金先生</w:t>
      </w:r>
      <w:r>
        <w:rPr>
          <w:rFonts w:hint="eastAsia" w:asciiTheme="minorEastAsia" w:hAnsiTheme="minorEastAsia" w:eastAsiaTheme="minorEastAsia" w:cstheme="minorEastAsia"/>
          <w:color w:val="auto"/>
          <w:sz w:val="21"/>
          <w:szCs w:val="21"/>
          <w:highlight w:val="none"/>
        </w:rPr>
        <w:t xml:space="preserve"> 电话：</w:t>
      </w:r>
      <w:r>
        <w:rPr>
          <w:rFonts w:hint="eastAsia" w:asciiTheme="minorEastAsia" w:hAnsiTheme="minorEastAsia" w:eastAsiaTheme="minorEastAsia" w:cstheme="minorEastAsia"/>
          <w:color w:val="auto"/>
          <w:sz w:val="21"/>
          <w:szCs w:val="21"/>
          <w:highlight w:val="none"/>
          <w:lang w:eastAsia="zh-CN"/>
        </w:rPr>
        <w:t>0577-86126350</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15088555258</w:t>
      </w:r>
      <w:r>
        <w:rPr>
          <w:rFonts w:hint="eastAsia" w:asciiTheme="minorEastAsia" w:hAnsiTheme="minorEastAsia" w:eastAsiaTheme="minorEastAsia" w:cstheme="minorEastAsia"/>
          <w:color w:val="auto"/>
          <w:sz w:val="21"/>
          <w:szCs w:val="21"/>
          <w:highlight w:val="none"/>
        </w:rPr>
        <w:t>。对逾期送达的意见、建议书恕不接受。</w:t>
      </w:r>
    </w:p>
    <w:p w14:paraId="75AF8CE9">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三、附本项目采购文件</w:t>
      </w:r>
    </w:p>
    <w:p w14:paraId="5420C005">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color w:val="auto"/>
          <w:sz w:val="21"/>
          <w:szCs w:val="21"/>
          <w:highlight w:val="none"/>
        </w:rPr>
      </w:pPr>
    </w:p>
    <w:p w14:paraId="7BE533F1">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35"/>
        <w:jc w:val="right"/>
        <w:textAlignment w:val="auto"/>
        <w:rPr>
          <w:rFonts w:hint="eastAsia" w:asciiTheme="minorEastAsia" w:hAnsiTheme="minorEastAsia" w:eastAsiaTheme="minorEastAsia" w:cstheme="minorEastAsia"/>
          <w:color w:val="auto"/>
          <w:sz w:val="21"/>
          <w:szCs w:val="21"/>
          <w:highlight w:val="none"/>
        </w:rPr>
      </w:pPr>
    </w:p>
    <w:p w14:paraId="1917A42A">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35"/>
        <w:jc w:val="right"/>
        <w:textAlignment w:val="auto"/>
        <w:rPr>
          <w:rFonts w:hint="eastAsia" w:asciiTheme="minorEastAsia" w:hAnsiTheme="minorEastAsia" w:eastAsiaTheme="minorEastAsia" w:cstheme="minorEastAsia"/>
          <w:color w:val="auto"/>
          <w:sz w:val="21"/>
          <w:szCs w:val="21"/>
          <w:highlight w:val="none"/>
        </w:rPr>
      </w:pPr>
    </w:p>
    <w:p w14:paraId="2CA61C5C">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35"/>
        <w:jc w:val="righ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温州交运集团泰顺有限公司</w:t>
      </w:r>
    </w:p>
    <w:p w14:paraId="35F91D3F">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35"/>
        <w:jc w:val="righ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浙江林鸥工程管理有限公司</w:t>
      </w:r>
    </w:p>
    <w:p w14:paraId="2689B494">
      <w:pPr>
        <w:pStyle w:val="2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35"/>
        <w:jc w:val="righ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202</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eastAsia="zh-CN"/>
        </w:rPr>
        <w:t>07</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17</w:t>
      </w:r>
      <w:r>
        <w:rPr>
          <w:rFonts w:hint="eastAsia" w:asciiTheme="minorEastAsia" w:hAnsiTheme="minorEastAsia" w:eastAsiaTheme="minorEastAsia" w:cstheme="minorEastAsia"/>
          <w:color w:val="auto"/>
          <w:sz w:val="21"/>
          <w:szCs w:val="21"/>
          <w:highlight w:val="none"/>
        </w:rPr>
        <w:t>日</w:t>
      </w:r>
    </w:p>
    <w:bookmarkEnd w:id="2"/>
    <w:p w14:paraId="04C45E5D">
      <w:pPr>
        <w:pStyle w:val="3"/>
        <w:shd w:val="clear" w:color="auto" w:fill="auto"/>
        <w:tabs>
          <w:tab w:val="left" w:pos="840"/>
        </w:tabs>
        <w:spacing w:before="192" w:beforeLines="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bookmarkStart w:id="3" w:name="_Toc27051"/>
    </w:p>
    <w:p w14:paraId="27CE110A">
      <w:pPr>
        <w:pStyle w:val="3"/>
        <w:shd w:val="clear" w:color="auto" w:fill="auto"/>
        <w:spacing w:line="360" w:lineRule="auto"/>
        <w:rPr>
          <w:rFonts w:hint="eastAsia" w:ascii="宋体" w:hAnsi="宋体" w:eastAsia="宋体" w:cs="宋体"/>
          <w:color w:val="auto"/>
          <w:sz w:val="36"/>
          <w:szCs w:val="36"/>
          <w:highlight w:val="none"/>
        </w:rPr>
      </w:pPr>
      <w:bookmarkStart w:id="4" w:name="_Toc15093"/>
      <w:r>
        <w:rPr>
          <w:rFonts w:hint="eastAsia" w:ascii="宋体" w:hAnsi="宋体" w:eastAsia="宋体" w:cs="宋体"/>
          <w:color w:val="auto"/>
          <w:sz w:val="36"/>
          <w:szCs w:val="36"/>
          <w:highlight w:val="none"/>
        </w:rPr>
        <w:t>第一部分    投标人须知</w:t>
      </w:r>
      <w:bookmarkEnd w:id="4"/>
    </w:p>
    <w:p w14:paraId="5252B0A0">
      <w:pPr>
        <w:pStyle w:val="3"/>
        <w:shd w:val="clear" w:color="auto" w:fill="auto"/>
        <w:tabs>
          <w:tab w:val="left" w:pos="840"/>
        </w:tabs>
        <w:spacing w:before="192" w:beforeLines="80"/>
        <w:rPr>
          <w:rFonts w:hint="eastAsia" w:ascii="宋体" w:hAnsi="宋体" w:eastAsia="宋体" w:cs="宋体"/>
          <w:color w:val="auto"/>
          <w:sz w:val="22"/>
          <w:szCs w:val="22"/>
          <w:highlight w:val="none"/>
        </w:rPr>
      </w:pPr>
      <w:bookmarkStart w:id="5" w:name="_Toc10625"/>
      <w:r>
        <w:rPr>
          <w:rFonts w:hint="eastAsia" w:ascii="宋体" w:hAnsi="宋体" w:eastAsia="宋体" w:cs="宋体"/>
          <w:color w:val="auto"/>
          <w:sz w:val="30"/>
          <w:szCs w:val="30"/>
          <w:highlight w:val="none"/>
        </w:rPr>
        <w:t>投标人须知前附表</w:t>
      </w:r>
      <w:bookmarkEnd w:id="3"/>
      <w:bookmarkEnd w:id="5"/>
    </w:p>
    <w:tbl>
      <w:tblPr>
        <w:tblStyle w:val="33"/>
        <w:tblW w:w="4997" w:type="pct"/>
        <w:tblInd w:w="0" w:type="dxa"/>
        <w:tblLayout w:type="autofit"/>
        <w:tblCellMar>
          <w:top w:w="0" w:type="dxa"/>
          <w:left w:w="108" w:type="dxa"/>
          <w:bottom w:w="0" w:type="dxa"/>
          <w:right w:w="108" w:type="dxa"/>
        </w:tblCellMar>
      </w:tblPr>
      <w:tblGrid>
        <w:gridCol w:w="668"/>
        <w:gridCol w:w="1912"/>
        <w:gridCol w:w="7272"/>
      </w:tblGrid>
      <w:tr w14:paraId="5F807E86">
        <w:tblPrEx>
          <w:tblCellMar>
            <w:top w:w="0" w:type="dxa"/>
            <w:left w:w="108" w:type="dxa"/>
            <w:bottom w:w="0" w:type="dxa"/>
            <w:right w:w="108" w:type="dxa"/>
          </w:tblCellMar>
        </w:tblPrEx>
        <w:trPr>
          <w:trHeight w:val="634" w:hRule="atLeast"/>
        </w:trPr>
        <w:tc>
          <w:tcPr>
            <w:tcW w:w="339" w:type="pct"/>
            <w:tcBorders>
              <w:top w:val="single" w:color="000000" w:sz="2" w:space="0"/>
              <w:left w:val="single" w:color="000000" w:sz="2" w:space="0"/>
              <w:bottom w:val="single" w:color="000000" w:sz="2" w:space="0"/>
              <w:right w:val="single" w:color="000000" w:sz="2" w:space="0"/>
            </w:tcBorders>
            <w:noWrap w:val="0"/>
            <w:vAlign w:val="center"/>
          </w:tcPr>
          <w:p w14:paraId="188DDB8C">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序号</w:t>
            </w:r>
          </w:p>
        </w:tc>
        <w:tc>
          <w:tcPr>
            <w:tcW w:w="970" w:type="pct"/>
            <w:tcBorders>
              <w:top w:val="single" w:color="000000" w:sz="2" w:space="0"/>
              <w:left w:val="single" w:color="000000" w:sz="2" w:space="0"/>
              <w:bottom w:val="single" w:color="000000" w:sz="2" w:space="0"/>
              <w:right w:val="single" w:color="000000" w:sz="2" w:space="0"/>
            </w:tcBorders>
            <w:noWrap w:val="0"/>
            <w:vAlign w:val="center"/>
          </w:tcPr>
          <w:p w14:paraId="73B2B571">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条款名称</w:t>
            </w:r>
          </w:p>
        </w:tc>
        <w:tc>
          <w:tcPr>
            <w:tcW w:w="3689" w:type="pct"/>
            <w:tcBorders>
              <w:top w:val="single" w:color="000000" w:sz="2" w:space="0"/>
              <w:left w:val="single" w:color="000000" w:sz="2" w:space="0"/>
              <w:bottom w:val="single" w:color="000000" w:sz="2" w:space="0"/>
              <w:right w:val="single" w:color="000000" w:sz="2" w:space="0"/>
            </w:tcBorders>
            <w:noWrap w:val="0"/>
            <w:vAlign w:val="center"/>
          </w:tcPr>
          <w:p w14:paraId="7433F8C6">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编列内容</w:t>
            </w:r>
          </w:p>
        </w:tc>
      </w:tr>
      <w:tr w14:paraId="7474DF53">
        <w:tblPrEx>
          <w:tblCellMar>
            <w:top w:w="0" w:type="dxa"/>
            <w:left w:w="108" w:type="dxa"/>
            <w:bottom w:w="0" w:type="dxa"/>
            <w:right w:w="108" w:type="dxa"/>
          </w:tblCellMar>
        </w:tblPrEx>
        <w:trPr>
          <w:trHeight w:val="1082" w:hRule="atLeast"/>
        </w:trPr>
        <w:tc>
          <w:tcPr>
            <w:tcW w:w="339" w:type="pct"/>
            <w:tcBorders>
              <w:top w:val="single" w:color="000000" w:sz="2" w:space="0"/>
              <w:left w:val="single" w:color="000000" w:sz="2" w:space="0"/>
              <w:bottom w:val="single" w:color="000000" w:sz="2" w:space="0"/>
              <w:right w:val="single" w:color="000000" w:sz="2" w:space="0"/>
            </w:tcBorders>
            <w:noWrap w:val="0"/>
            <w:vAlign w:val="center"/>
          </w:tcPr>
          <w:p w14:paraId="7EF95918">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w:t>
            </w:r>
          </w:p>
        </w:tc>
        <w:tc>
          <w:tcPr>
            <w:tcW w:w="970" w:type="pct"/>
            <w:tcBorders>
              <w:top w:val="single" w:color="000000" w:sz="2" w:space="0"/>
              <w:left w:val="single" w:color="000000" w:sz="2" w:space="0"/>
              <w:bottom w:val="single" w:color="000000" w:sz="2" w:space="0"/>
              <w:right w:val="single" w:color="000000" w:sz="2" w:space="0"/>
            </w:tcBorders>
            <w:noWrap w:val="0"/>
            <w:vAlign w:val="center"/>
          </w:tcPr>
          <w:p w14:paraId="5DECF785">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采购人</w:t>
            </w:r>
          </w:p>
        </w:tc>
        <w:tc>
          <w:tcPr>
            <w:tcW w:w="3689" w:type="pct"/>
            <w:tcBorders>
              <w:top w:val="single" w:color="000000" w:sz="2" w:space="0"/>
              <w:left w:val="single" w:color="000000" w:sz="2" w:space="0"/>
              <w:bottom w:val="single" w:color="000000" w:sz="2" w:space="0"/>
              <w:right w:val="single" w:color="000000" w:sz="2" w:space="0"/>
            </w:tcBorders>
            <w:noWrap w:val="0"/>
            <w:vAlign w:val="center"/>
          </w:tcPr>
          <w:p w14:paraId="69CE5635">
            <w:pPr>
              <w:keepNext w:val="0"/>
              <w:keepLines w:val="0"/>
              <w:pageBreakBefore w:val="0"/>
              <w:widowControl w:val="0"/>
              <w:shd w:val="clear" w:color="auto" w:fill="auto"/>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采购人：</w:t>
            </w:r>
            <w:r>
              <w:rPr>
                <w:rFonts w:hint="eastAsia" w:asciiTheme="minorEastAsia" w:hAnsiTheme="minorEastAsia" w:eastAsiaTheme="minorEastAsia" w:cstheme="minorEastAsia"/>
                <w:color w:val="auto"/>
                <w:sz w:val="21"/>
                <w:szCs w:val="21"/>
                <w:highlight w:val="none"/>
                <w:lang w:eastAsia="zh-CN"/>
              </w:rPr>
              <w:t>温州交运集团泰顺有限公司</w:t>
            </w:r>
          </w:p>
          <w:p w14:paraId="2ED4DDF2">
            <w:pPr>
              <w:keepNext w:val="0"/>
              <w:keepLines w:val="0"/>
              <w:pageBreakBefore w:val="0"/>
              <w:widowControl w:val="0"/>
              <w:shd w:val="clear" w:color="auto" w:fill="auto"/>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地址：</w:t>
            </w:r>
            <w:r>
              <w:rPr>
                <w:rFonts w:hint="eastAsia" w:asciiTheme="minorEastAsia" w:hAnsiTheme="minorEastAsia" w:eastAsiaTheme="minorEastAsia" w:cstheme="minorEastAsia"/>
                <w:bCs/>
                <w:color w:val="auto"/>
                <w:sz w:val="21"/>
                <w:szCs w:val="21"/>
                <w:highlight w:val="none"/>
                <w:lang w:eastAsia="zh-CN"/>
              </w:rPr>
              <w:t>浙江省温州市泰顺县泰庆北路438号</w:t>
            </w:r>
          </w:p>
          <w:p w14:paraId="22034D46">
            <w:pPr>
              <w:keepNext w:val="0"/>
              <w:keepLines w:val="0"/>
              <w:pageBreakBefore w:val="0"/>
              <w:widowControl w:val="0"/>
              <w:shd w:val="clear" w:color="auto" w:fill="auto"/>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联系人：</w:t>
            </w:r>
            <w:r>
              <w:rPr>
                <w:rFonts w:hint="eastAsia" w:asciiTheme="minorEastAsia" w:hAnsiTheme="minorEastAsia" w:eastAsiaTheme="minorEastAsia" w:cstheme="minorEastAsia"/>
                <w:color w:val="auto"/>
                <w:sz w:val="21"/>
                <w:szCs w:val="21"/>
                <w:highlight w:val="none"/>
                <w:lang w:val="en-US" w:eastAsia="zh-CN"/>
              </w:rPr>
              <w:t>朱先生</w:t>
            </w:r>
          </w:p>
          <w:p w14:paraId="1A81D737">
            <w:pPr>
              <w:keepNext w:val="0"/>
              <w:keepLines w:val="0"/>
              <w:pageBreakBefore w:val="0"/>
              <w:widowControl w:val="0"/>
              <w:shd w:val="clear" w:color="auto" w:fill="auto"/>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联系电话：</w:t>
            </w:r>
            <w:r>
              <w:rPr>
                <w:rFonts w:hint="eastAsia" w:asciiTheme="minorEastAsia" w:hAnsiTheme="minorEastAsia" w:eastAsiaTheme="minorEastAsia" w:cstheme="minorEastAsia"/>
                <w:color w:val="auto"/>
                <w:sz w:val="21"/>
                <w:szCs w:val="21"/>
                <w:highlight w:val="none"/>
                <w:lang w:eastAsia="zh-CN"/>
              </w:rPr>
              <w:t>17816064590</w:t>
            </w:r>
          </w:p>
        </w:tc>
      </w:tr>
      <w:tr w14:paraId="1A3CC732">
        <w:tblPrEx>
          <w:tblCellMar>
            <w:top w:w="0" w:type="dxa"/>
            <w:left w:w="108" w:type="dxa"/>
            <w:bottom w:w="0" w:type="dxa"/>
            <w:right w:w="108" w:type="dxa"/>
          </w:tblCellMar>
        </w:tblPrEx>
        <w:trPr>
          <w:trHeight w:val="1097" w:hRule="atLeast"/>
        </w:trPr>
        <w:tc>
          <w:tcPr>
            <w:tcW w:w="339" w:type="pct"/>
            <w:tcBorders>
              <w:top w:val="single" w:color="000000" w:sz="2" w:space="0"/>
              <w:left w:val="single" w:color="000000" w:sz="2" w:space="0"/>
              <w:bottom w:val="single" w:color="000000" w:sz="2" w:space="0"/>
              <w:right w:val="single" w:color="000000" w:sz="2" w:space="0"/>
            </w:tcBorders>
            <w:noWrap w:val="0"/>
            <w:vAlign w:val="center"/>
          </w:tcPr>
          <w:p w14:paraId="5133C85E">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2</w:t>
            </w:r>
          </w:p>
        </w:tc>
        <w:tc>
          <w:tcPr>
            <w:tcW w:w="970" w:type="pct"/>
            <w:tcBorders>
              <w:top w:val="single" w:color="000000" w:sz="2" w:space="0"/>
              <w:left w:val="single" w:color="000000" w:sz="2" w:space="0"/>
              <w:bottom w:val="single" w:color="000000" w:sz="2" w:space="0"/>
              <w:right w:val="single" w:color="000000" w:sz="2" w:space="0"/>
            </w:tcBorders>
            <w:noWrap w:val="0"/>
            <w:vAlign w:val="center"/>
          </w:tcPr>
          <w:p w14:paraId="71102C8D">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采购代理机构</w:t>
            </w:r>
          </w:p>
        </w:tc>
        <w:tc>
          <w:tcPr>
            <w:tcW w:w="3689" w:type="pct"/>
            <w:tcBorders>
              <w:top w:val="single" w:color="000000" w:sz="2" w:space="0"/>
              <w:left w:val="single" w:color="000000" w:sz="2" w:space="0"/>
              <w:bottom w:val="single" w:color="000000" w:sz="2" w:space="0"/>
              <w:right w:val="single" w:color="000000" w:sz="2" w:space="0"/>
            </w:tcBorders>
            <w:noWrap w:val="0"/>
            <w:vAlign w:val="center"/>
          </w:tcPr>
          <w:p w14:paraId="640139E8">
            <w:pPr>
              <w:keepNext w:val="0"/>
              <w:keepLines w:val="0"/>
              <w:pageBreakBefore w:val="0"/>
              <w:widowControl w:val="0"/>
              <w:shd w:val="clear" w:color="auto" w:fill="auto"/>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采购代理机构：</w:t>
            </w:r>
            <w:r>
              <w:rPr>
                <w:rFonts w:hint="eastAsia" w:asciiTheme="minorEastAsia" w:hAnsiTheme="minorEastAsia" w:eastAsiaTheme="minorEastAsia" w:cstheme="minorEastAsia"/>
                <w:color w:val="auto"/>
                <w:sz w:val="21"/>
                <w:szCs w:val="21"/>
                <w:highlight w:val="none"/>
                <w:lang w:eastAsia="zh-CN"/>
              </w:rPr>
              <w:t>浙江林鸥工程管理有限公司</w:t>
            </w:r>
          </w:p>
          <w:p w14:paraId="31108876">
            <w:pPr>
              <w:keepNext w:val="0"/>
              <w:keepLines w:val="0"/>
              <w:pageBreakBefore w:val="0"/>
              <w:widowControl w:val="0"/>
              <w:shd w:val="clear" w:color="auto" w:fill="auto"/>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地址：</w:t>
            </w:r>
            <w:r>
              <w:rPr>
                <w:rFonts w:hint="eastAsia" w:asciiTheme="minorEastAsia" w:hAnsiTheme="minorEastAsia" w:eastAsiaTheme="minorEastAsia" w:cstheme="minorEastAsia"/>
                <w:color w:val="auto"/>
                <w:sz w:val="21"/>
                <w:szCs w:val="21"/>
                <w:highlight w:val="none"/>
                <w:lang w:eastAsia="zh-CN"/>
              </w:rPr>
              <w:t>浙江省温州市瓯海区娄桥街道商汇路888号广川大厦8楼</w:t>
            </w:r>
          </w:p>
          <w:p w14:paraId="5E2C38ED">
            <w:pPr>
              <w:keepNext w:val="0"/>
              <w:keepLines w:val="0"/>
              <w:pageBreakBefore w:val="0"/>
              <w:widowControl w:val="0"/>
              <w:shd w:val="clear" w:color="auto" w:fill="auto"/>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联系人：</w:t>
            </w:r>
            <w:r>
              <w:rPr>
                <w:rFonts w:hint="eastAsia" w:asciiTheme="minorEastAsia" w:hAnsiTheme="minorEastAsia" w:eastAsiaTheme="minorEastAsia" w:cstheme="minorEastAsia"/>
                <w:color w:val="auto"/>
                <w:sz w:val="21"/>
                <w:szCs w:val="21"/>
                <w:highlight w:val="none"/>
                <w:lang w:eastAsia="zh-CN"/>
              </w:rPr>
              <w:t>金先生</w:t>
            </w:r>
          </w:p>
          <w:p w14:paraId="6B16EAAB">
            <w:pPr>
              <w:keepNext w:val="0"/>
              <w:keepLines w:val="0"/>
              <w:pageBreakBefore w:val="0"/>
              <w:widowControl w:val="0"/>
              <w:shd w:val="clear" w:color="auto" w:fill="auto"/>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电话：</w:t>
            </w:r>
            <w:r>
              <w:rPr>
                <w:rFonts w:hint="eastAsia" w:asciiTheme="minorEastAsia" w:hAnsiTheme="minorEastAsia" w:eastAsiaTheme="minorEastAsia" w:cstheme="minorEastAsia"/>
                <w:color w:val="auto"/>
                <w:sz w:val="21"/>
                <w:szCs w:val="21"/>
                <w:highlight w:val="none"/>
                <w:lang w:eastAsia="zh-CN"/>
              </w:rPr>
              <w:t>15088555258</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0577-86126350</w:t>
            </w:r>
          </w:p>
        </w:tc>
      </w:tr>
      <w:tr w14:paraId="273ECC9F">
        <w:tblPrEx>
          <w:tblCellMar>
            <w:top w:w="0" w:type="dxa"/>
            <w:left w:w="108" w:type="dxa"/>
            <w:bottom w:w="0" w:type="dxa"/>
            <w:right w:w="108" w:type="dxa"/>
          </w:tblCellMar>
        </w:tblPrEx>
        <w:trPr>
          <w:trHeight w:val="839" w:hRule="atLeast"/>
        </w:trPr>
        <w:tc>
          <w:tcPr>
            <w:tcW w:w="339" w:type="pct"/>
            <w:tcBorders>
              <w:top w:val="single" w:color="000000" w:sz="2" w:space="0"/>
              <w:left w:val="single" w:color="000000" w:sz="2" w:space="0"/>
              <w:bottom w:val="single" w:color="000000" w:sz="2" w:space="0"/>
              <w:right w:val="single" w:color="000000" w:sz="2" w:space="0"/>
            </w:tcBorders>
            <w:noWrap w:val="0"/>
            <w:vAlign w:val="center"/>
          </w:tcPr>
          <w:p w14:paraId="05CA2878">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3</w:t>
            </w:r>
          </w:p>
        </w:tc>
        <w:tc>
          <w:tcPr>
            <w:tcW w:w="970" w:type="pct"/>
            <w:tcBorders>
              <w:top w:val="single" w:color="000000" w:sz="2" w:space="0"/>
              <w:left w:val="single" w:color="000000" w:sz="2" w:space="0"/>
              <w:bottom w:val="single" w:color="000000" w:sz="2" w:space="0"/>
              <w:right w:val="single" w:color="000000" w:sz="2" w:space="0"/>
            </w:tcBorders>
            <w:noWrap w:val="0"/>
            <w:vAlign w:val="center"/>
          </w:tcPr>
          <w:p w14:paraId="6B7702CB">
            <w:pPr>
              <w:keepNext w:val="0"/>
              <w:keepLines w:val="0"/>
              <w:pageBreakBefore w:val="0"/>
              <w:widowControl w:val="0"/>
              <w:shd w:val="clear" w:color="auto" w:fill="auto"/>
              <w:kinsoku/>
              <w:wordWrap/>
              <w:overflowPunct/>
              <w:topLinePunct w:val="0"/>
              <w:bidi w:val="0"/>
              <w:snapToGrid w:val="0"/>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采购名称</w:t>
            </w:r>
          </w:p>
        </w:tc>
        <w:tc>
          <w:tcPr>
            <w:tcW w:w="3689" w:type="pct"/>
            <w:tcBorders>
              <w:top w:val="single" w:color="000000" w:sz="2" w:space="0"/>
              <w:left w:val="single" w:color="000000" w:sz="2" w:space="0"/>
              <w:bottom w:val="single" w:color="000000" w:sz="2" w:space="0"/>
              <w:right w:val="single" w:color="000000" w:sz="2" w:space="0"/>
            </w:tcBorders>
            <w:noWrap w:val="0"/>
            <w:vAlign w:val="center"/>
          </w:tcPr>
          <w:p w14:paraId="65B4CA2A">
            <w:pPr>
              <w:keepNext w:val="0"/>
              <w:keepLines w:val="0"/>
              <w:pageBreakBefore w:val="0"/>
              <w:widowControl w:val="0"/>
              <w:shd w:val="clear" w:color="auto" w:fill="auto"/>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项目名称：</w:t>
            </w:r>
            <w:r>
              <w:rPr>
                <w:rFonts w:hint="eastAsia" w:asciiTheme="minorEastAsia" w:hAnsiTheme="minorEastAsia" w:eastAsiaTheme="minorEastAsia" w:cstheme="minorEastAsia"/>
                <w:color w:val="auto"/>
                <w:sz w:val="21"/>
                <w:szCs w:val="21"/>
                <w:highlight w:val="none"/>
                <w:lang w:eastAsia="zh-CN"/>
              </w:rPr>
              <w:t>气象预警服务平台项目研发</w:t>
            </w:r>
          </w:p>
          <w:p w14:paraId="777CA6FD">
            <w:pPr>
              <w:keepNext w:val="0"/>
              <w:keepLines w:val="0"/>
              <w:pageBreakBefore w:val="0"/>
              <w:widowControl w:val="0"/>
              <w:shd w:val="clear" w:color="auto" w:fill="auto"/>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项目编号：</w:t>
            </w:r>
            <w:r>
              <w:rPr>
                <w:rFonts w:hint="eastAsia" w:asciiTheme="minorEastAsia" w:hAnsiTheme="minorEastAsia" w:eastAsiaTheme="minorEastAsia" w:cstheme="minorEastAsia"/>
                <w:color w:val="auto"/>
                <w:sz w:val="21"/>
                <w:szCs w:val="21"/>
                <w:highlight w:val="none"/>
                <w:lang w:eastAsia="zh-CN"/>
              </w:rPr>
              <w:t>WGSS-JYJT-Z-2025032</w:t>
            </w:r>
            <w:r>
              <w:rPr>
                <w:rFonts w:hint="eastAsia" w:asciiTheme="minorEastAsia" w:hAnsiTheme="minorEastAsia" w:eastAsiaTheme="minorEastAsia" w:cstheme="minorEastAsia"/>
                <w:color w:val="auto"/>
                <w:sz w:val="21"/>
                <w:szCs w:val="21"/>
                <w:highlight w:val="none"/>
              </w:rPr>
              <w:t xml:space="preserve">         </w:t>
            </w:r>
          </w:p>
        </w:tc>
      </w:tr>
      <w:tr w14:paraId="01822295">
        <w:tblPrEx>
          <w:tblCellMar>
            <w:top w:w="0" w:type="dxa"/>
            <w:left w:w="108" w:type="dxa"/>
            <w:bottom w:w="0" w:type="dxa"/>
            <w:right w:w="108" w:type="dxa"/>
          </w:tblCellMar>
        </w:tblPrEx>
        <w:trPr>
          <w:trHeight w:val="728" w:hRule="atLeast"/>
        </w:trPr>
        <w:tc>
          <w:tcPr>
            <w:tcW w:w="339" w:type="pct"/>
            <w:tcBorders>
              <w:top w:val="single" w:color="000000" w:sz="2" w:space="0"/>
              <w:left w:val="single" w:color="000000" w:sz="2" w:space="0"/>
              <w:bottom w:val="single" w:color="000000" w:sz="2" w:space="0"/>
              <w:right w:val="single" w:color="000000" w:sz="2" w:space="0"/>
            </w:tcBorders>
            <w:noWrap w:val="0"/>
            <w:vAlign w:val="center"/>
          </w:tcPr>
          <w:p w14:paraId="48162027">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4</w:t>
            </w:r>
          </w:p>
        </w:tc>
        <w:tc>
          <w:tcPr>
            <w:tcW w:w="970" w:type="pct"/>
            <w:tcBorders>
              <w:top w:val="single" w:color="000000" w:sz="2" w:space="0"/>
              <w:left w:val="single" w:color="000000" w:sz="2" w:space="0"/>
              <w:bottom w:val="single" w:color="000000" w:sz="2" w:space="0"/>
              <w:right w:val="single" w:color="000000" w:sz="2" w:space="0"/>
            </w:tcBorders>
            <w:noWrap w:val="0"/>
            <w:vAlign w:val="center"/>
          </w:tcPr>
          <w:p w14:paraId="32AED8DF">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采购</w:t>
            </w:r>
            <w:r>
              <w:rPr>
                <w:rFonts w:hint="eastAsia" w:asciiTheme="minorEastAsia" w:hAnsiTheme="minorEastAsia" w:eastAsiaTheme="minorEastAsia" w:cstheme="minorEastAsia"/>
                <w:color w:val="auto"/>
                <w:kern w:val="0"/>
                <w:sz w:val="21"/>
                <w:szCs w:val="21"/>
                <w:highlight w:val="none"/>
              </w:rPr>
              <w:t>预算及</w:t>
            </w:r>
            <w:r>
              <w:rPr>
                <w:rFonts w:hint="eastAsia" w:asciiTheme="minorEastAsia" w:hAnsiTheme="minorEastAsia" w:eastAsiaTheme="minorEastAsia" w:cstheme="minorEastAsia"/>
                <w:color w:val="auto"/>
                <w:kern w:val="0"/>
                <w:sz w:val="21"/>
                <w:szCs w:val="21"/>
                <w:highlight w:val="none"/>
                <w:lang w:val="zh-CN"/>
              </w:rPr>
              <w:t>内容</w:t>
            </w:r>
          </w:p>
        </w:tc>
        <w:tc>
          <w:tcPr>
            <w:tcW w:w="3689" w:type="pct"/>
            <w:tcBorders>
              <w:top w:val="single" w:color="000000" w:sz="2" w:space="0"/>
              <w:left w:val="single" w:color="000000" w:sz="2" w:space="0"/>
              <w:bottom w:val="single" w:color="000000" w:sz="2" w:space="0"/>
              <w:right w:val="single" w:color="000000" w:sz="2" w:space="0"/>
            </w:tcBorders>
            <w:noWrap w:val="0"/>
            <w:vAlign w:val="center"/>
          </w:tcPr>
          <w:p w14:paraId="157697DC">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本项目采购</w:t>
            </w:r>
            <w:r>
              <w:rPr>
                <w:rFonts w:hint="eastAsia" w:asciiTheme="minorEastAsia" w:hAnsiTheme="minorEastAsia" w:eastAsiaTheme="minorEastAsia" w:cstheme="minorEastAsia"/>
                <w:color w:val="auto"/>
                <w:kern w:val="0"/>
                <w:sz w:val="21"/>
                <w:szCs w:val="21"/>
                <w:highlight w:val="none"/>
              </w:rPr>
              <w:t>预算</w:t>
            </w:r>
            <w:r>
              <w:rPr>
                <w:rFonts w:hint="eastAsia" w:asciiTheme="minorEastAsia" w:hAnsiTheme="minorEastAsia" w:eastAsiaTheme="minorEastAsia" w:cstheme="minorEastAsia"/>
                <w:color w:val="auto"/>
                <w:kern w:val="0"/>
                <w:sz w:val="21"/>
                <w:szCs w:val="21"/>
                <w:highlight w:val="none"/>
                <w:lang w:val="zh-CN"/>
              </w:rPr>
              <w:t>为70万元，具体内容及要求见采购文件。</w:t>
            </w:r>
          </w:p>
        </w:tc>
      </w:tr>
      <w:tr w14:paraId="5870A96D">
        <w:tblPrEx>
          <w:tblCellMar>
            <w:top w:w="0" w:type="dxa"/>
            <w:left w:w="108" w:type="dxa"/>
            <w:bottom w:w="0" w:type="dxa"/>
            <w:right w:w="108" w:type="dxa"/>
          </w:tblCellMar>
        </w:tblPrEx>
        <w:trPr>
          <w:trHeight w:val="1298" w:hRule="atLeast"/>
        </w:trPr>
        <w:tc>
          <w:tcPr>
            <w:tcW w:w="339" w:type="pct"/>
            <w:tcBorders>
              <w:top w:val="single" w:color="000000" w:sz="2" w:space="0"/>
              <w:left w:val="single" w:color="000000" w:sz="2" w:space="0"/>
              <w:bottom w:val="single" w:color="000000" w:sz="2" w:space="0"/>
              <w:right w:val="single" w:color="000000" w:sz="2" w:space="0"/>
            </w:tcBorders>
            <w:noWrap w:val="0"/>
            <w:vAlign w:val="center"/>
          </w:tcPr>
          <w:p w14:paraId="46A6D20A">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jc w:val="center"/>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en-US" w:eastAsia="zh-CN"/>
              </w:rPr>
              <w:t>5</w:t>
            </w:r>
          </w:p>
        </w:tc>
        <w:tc>
          <w:tcPr>
            <w:tcW w:w="970" w:type="pct"/>
            <w:tcBorders>
              <w:top w:val="single" w:color="000000" w:sz="2" w:space="0"/>
              <w:left w:val="single" w:color="000000" w:sz="2" w:space="0"/>
              <w:bottom w:val="single" w:color="000000" w:sz="2" w:space="0"/>
              <w:right w:val="single" w:color="000000" w:sz="2" w:space="0"/>
            </w:tcBorders>
            <w:noWrap w:val="0"/>
            <w:vAlign w:val="center"/>
          </w:tcPr>
          <w:p w14:paraId="740631C2">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w:t>
            </w:r>
            <w:r>
              <w:rPr>
                <w:rFonts w:hint="eastAsia" w:asciiTheme="minorEastAsia" w:hAnsiTheme="minorEastAsia" w:eastAsiaTheme="minorEastAsia" w:cstheme="minorEastAsia"/>
                <w:b/>
                <w:bCs/>
                <w:color w:val="auto"/>
                <w:kern w:val="0"/>
                <w:sz w:val="21"/>
                <w:szCs w:val="21"/>
                <w:highlight w:val="none"/>
                <w:u w:val="single"/>
              </w:rPr>
              <w:t>投标人</w:t>
            </w:r>
            <w:r>
              <w:rPr>
                <w:rFonts w:hint="eastAsia" w:asciiTheme="minorEastAsia" w:hAnsiTheme="minorEastAsia" w:eastAsiaTheme="minorEastAsia" w:cstheme="minorEastAsia"/>
                <w:b/>
                <w:bCs/>
                <w:color w:val="auto"/>
                <w:kern w:val="0"/>
                <w:sz w:val="21"/>
                <w:szCs w:val="21"/>
                <w:highlight w:val="none"/>
                <w:u w:val="single"/>
                <w:lang w:val="zh-CN"/>
              </w:rPr>
              <w:t>资格要求</w:t>
            </w:r>
          </w:p>
        </w:tc>
        <w:tc>
          <w:tcPr>
            <w:tcW w:w="3689" w:type="pct"/>
            <w:tcBorders>
              <w:top w:val="single" w:color="000000" w:sz="2" w:space="0"/>
              <w:left w:val="single" w:color="000000" w:sz="2" w:space="0"/>
              <w:bottom w:val="single" w:color="000000" w:sz="2" w:space="0"/>
              <w:right w:val="single" w:color="000000" w:sz="2" w:space="0"/>
            </w:tcBorders>
            <w:noWrap w:val="0"/>
            <w:vAlign w:val="center"/>
          </w:tcPr>
          <w:p w14:paraId="76C0A1A7">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color w:val="auto"/>
                <w:kern w:val="0"/>
                <w:sz w:val="21"/>
                <w:szCs w:val="21"/>
                <w:highlight w:val="none"/>
                <w:u w:val="single"/>
                <w:lang w:val="zh-CN"/>
              </w:rPr>
            </w:pPr>
            <w:r>
              <w:rPr>
                <w:rFonts w:hint="eastAsia" w:asciiTheme="minorEastAsia" w:hAnsiTheme="minorEastAsia" w:eastAsiaTheme="minorEastAsia" w:cstheme="minorEastAsia"/>
                <w:b/>
                <w:bCs/>
                <w:color w:val="auto"/>
                <w:kern w:val="0"/>
                <w:sz w:val="21"/>
                <w:szCs w:val="21"/>
                <w:highlight w:val="none"/>
                <w:u w:val="single"/>
                <w:lang w:val="zh-CN"/>
              </w:rPr>
              <w:t>1、符合《温州市市属国有企业采购管理办法》第十八条对投标人参加温州市国有企业采购活动应当具备的条件的要求；</w:t>
            </w:r>
          </w:p>
          <w:p w14:paraId="6319E06C">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color w:val="auto"/>
                <w:kern w:val="0"/>
                <w:sz w:val="21"/>
                <w:szCs w:val="21"/>
                <w:highlight w:val="none"/>
                <w:u w:val="single"/>
              </w:rPr>
            </w:pPr>
            <w:r>
              <w:rPr>
                <w:rFonts w:hint="eastAsia" w:asciiTheme="minorEastAsia" w:hAnsiTheme="minorEastAsia" w:eastAsiaTheme="minorEastAsia" w:cstheme="minorEastAsia"/>
                <w:b/>
                <w:bCs/>
                <w:color w:val="auto"/>
                <w:kern w:val="0"/>
                <w:sz w:val="21"/>
                <w:szCs w:val="21"/>
                <w:highlight w:val="none"/>
                <w:u w:val="single"/>
                <w:lang w:val="zh-CN"/>
              </w:rPr>
              <w:t>2、单位负责人为同一人或者存在直接控股、管理关系的不同投标人，不得参加同一合同项下的采购活动。</w:t>
            </w:r>
          </w:p>
        </w:tc>
      </w:tr>
      <w:tr w14:paraId="6C6A2EEB">
        <w:tblPrEx>
          <w:tblCellMar>
            <w:top w:w="0" w:type="dxa"/>
            <w:left w:w="108" w:type="dxa"/>
            <w:bottom w:w="0" w:type="dxa"/>
            <w:right w:w="108" w:type="dxa"/>
          </w:tblCellMar>
        </w:tblPrEx>
        <w:trPr>
          <w:trHeight w:val="823" w:hRule="atLeast"/>
        </w:trPr>
        <w:tc>
          <w:tcPr>
            <w:tcW w:w="339" w:type="pct"/>
            <w:tcBorders>
              <w:top w:val="single" w:color="000000" w:sz="2" w:space="0"/>
              <w:left w:val="single" w:color="000000" w:sz="2" w:space="0"/>
              <w:bottom w:val="single" w:color="000000" w:sz="2" w:space="0"/>
              <w:right w:val="single" w:color="000000" w:sz="2" w:space="0"/>
            </w:tcBorders>
            <w:noWrap w:val="0"/>
            <w:vAlign w:val="center"/>
          </w:tcPr>
          <w:p w14:paraId="01002A0B">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jc w:val="center"/>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en-US" w:eastAsia="zh-CN"/>
              </w:rPr>
              <w:t>6</w:t>
            </w:r>
          </w:p>
        </w:tc>
        <w:tc>
          <w:tcPr>
            <w:tcW w:w="970" w:type="pct"/>
            <w:tcBorders>
              <w:top w:val="single" w:color="000000" w:sz="2" w:space="0"/>
              <w:left w:val="single" w:color="000000" w:sz="2" w:space="0"/>
              <w:bottom w:val="single" w:color="000000" w:sz="2" w:space="0"/>
              <w:right w:val="single" w:color="000000" w:sz="2" w:space="0"/>
            </w:tcBorders>
            <w:noWrap w:val="0"/>
            <w:vAlign w:val="center"/>
          </w:tcPr>
          <w:p w14:paraId="0847F216">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是否接受联合体投标</w:t>
            </w:r>
          </w:p>
        </w:tc>
        <w:tc>
          <w:tcPr>
            <w:tcW w:w="3689" w:type="pct"/>
            <w:tcBorders>
              <w:top w:val="single" w:color="000000" w:sz="2" w:space="0"/>
              <w:left w:val="single" w:color="000000" w:sz="2" w:space="0"/>
              <w:bottom w:val="single" w:color="000000" w:sz="2" w:space="0"/>
              <w:right w:val="single" w:color="000000" w:sz="2" w:space="0"/>
            </w:tcBorders>
            <w:noWrap w:val="0"/>
            <w:vAlign w:val="center"/>
          </w:tcPr>
          <w:p w14:paraId="3FC869A5">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b/>
                <w:snapToGrid w:val="0"/>
                <w:color w:val="auto"/>
                <w:sz w:val="21"/>
                <w:szCs w:val="21"/>
                <w:highlight w:val="none"/>
              </w:rPr>
              <w:sym w:font="Wingdings" w:char="F0FE"/>
            </w:r>
            <w:r>
              <w:rPr>
                <w:rFonts w:hint="eastAsia" w:asciiTheme="minorEastAsia" w:hAnsiTheme="minorEastAsia" w:eastAsiaTheme="minorEastAsia" w:cstheme="minorEastAsia"/>
                <w:color w:val="auto"/>
                <w:kern w:val="0"/>
                <w:sz w:val="21"/>
                <w:szCs w:val="21"/>
                <w:highlight w:val="none"/>
                <w:lang w:val="zh-CN"/>
              </w:rPr>
              <w:t>不接受</w:t>
            </w:r>
          </w:p>
          <w:p w14:paraId="20E82BC7">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□接受</w:t>
            </w:r>
          </w:p>
        </w:tc>
      </w:tr>
      <w:tr w14:paraId="653BD71B">
        <w:tblPrEx>
          <w:tblCellMar>
            <w:top w:w="0" w:type="dxa"/>
            <w:left w:w="108" w:type="dxa"/>
            <w:bottom w:w="0" w:type="dxa"/>
            <w:right w:w="108" w:type="dxa"/>
          </w:tblCellMar>
        </w:tblPrEx>
        <w:trPr>
          <w:trHeight w:val="823" w:hRule="atLeast"/>
        </w:trPr>
        <w:tc>
          <w:tcPr>
            <w:tcW w:w="339" w:type="pct"/>
            <w:tcBorders>
              <w:top w:val="single" w:color="000000" w:sz="2" w:space="0"/>
              <w:left w:val="single" w:color="000000" w:sz="2" w:space="0"/>
              <w:bottom w:val="single" w:color="000000" w:sz="2" w:space="0"/>
              <w:right w:val="single" w:color="000000" w:sz="2" w:space="0"/>
            </w:tcBorders>
            <w:noWrap w:val="0"/>
            <w:vAlign w:val="center"/>
          </w:tcPr>
          <w:p w14:paraId="1FCF0D5A">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jc w:val="center"/>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en-US" w:eastAsia="zh-CN"/>
              </w:rPr>
              <w:t>7</w:t>
            </w:r>
          </w:p>
        </w:tc>
        <w:tc>
          <w:tcPr>
            <w:tcW w:w="970" w:type="pct"/>
            <w:tcBorders>
              <w:top w:val="single" w:color="000000" w:sz="2" w:space="0"/>
              <w:left w:val="single" w:color="000000" w:sz="2" w:space="0"/>
              <w:bottom w:val="single" w:color="000000" w:sz="2" w:space="0"/>
              <w:right w:val="single" w:color="000000" w:sz="2" w:space="0"/>
            </w:tcBorders>
            <w:noWrap w:val="0"/>
            <w:vAlign w:val="center"/>
          </w:tcPr>
          <w:p w14:paraId="6AF114BA">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踏勘现场</w:t>
            </w:r>
          </w:p>
        </w:tc>
        <w:tc>
          <w:tcPr>
            <w:tcW w:w="3689" w:type="pct"/>
            <w:tcBorders>
              <w:top w:val="single" w:color="000000" w:sz="2" w:space="0"/>
              <w:left w:val="single" w:color="000000" w:sz="2" w:space="0"/>
              <w:bottom w:val="single" w:color="000000" w:sz="2" w:space="0"/>
              <w:right w:val="single" w:color="000000" w:sz="2" w:space="0"/>
            </w:tcBorders>
            <w:noWrap w:val="0"/>
            <w:vAlign w:val="center"/>
          </w:tcPr>
          <w:p w14:paraId="7F0994B2">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现场勘察不统一组织，潜在投标人可自行前往。</w:t>
            </w:r>
          </w:p>
        </w:tc>
      </w:tr>
      <w:tr w14:paraId="62DD8F8A">
        <w:tblPrEx>
          <w:tblCellMar>
            <w:top w:w="0" w:type="dxa"/>
            <w:left w:w="108" w:type="dxa"/>
            <w:bottom w:w="0" w:type="dxa"/>
            <w:right w:w="108" w:type="dxa"/>
          </w:tblCellMar>
        </w:tblPrEx>
        <w:trPr>
          <w:trHeight w:val="823" w:hRule="atLeast"/>
        </w:trPr>
        <w:tc>
          <w:tcPr>
            <w:tcW w:w="339" w:type="pct"/>
            <w:tcBorders>
              <w:top w:val="single" w:color="000000" w:sz="2" w:space="0"/>
              <w:left w:val="single" w:color="000000" w:sz="2" w:space="0"/>
              <w:bottom w:val="single" w:color="000000" w:sz="2" w:space="0"/>
              <w:right w:val="single" w:color="000000" w:sz="2" w:space="0"/>
            </w:tcBorders>
            <w:noWrap w:val="0"/>
            <w:vAlign w:val="center"/>
          </w:tcPr>
          <w:p w14:paraId="120315A7">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jc w:val="center"/>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en-US" w:eastAsia="zh-CN"/>
              </w:rPr>
              <w:t>8</w:t>
            </w:r>
          </w:p>
        </w:tc>
        <w:tc>
          <w:tcPr>
            <w:tcW w:w="970" w:type="pct"/>
            <w:tcBorders>
              <w:top w:val="single" w:color="000000" w:sz="2" w:space="0"/>
              <w:left w:val="single" w:color="000000" w:sz="2" w:space="0"/>
              <w:bottom w:val="single" w:color="000000" w:sz="2" w:space="0"/>
              <w:right w:val="single" w:color="000000" w:sz="2" w:space="0"/>
            </w:tcBorders>
            <w:noWrap w:val="0"/>
            <w:vAlign w:val="center"/>
          </w:tcPr>
          <w:p w14:paraId="40C4DF72">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投标预备会</w:t>
            </w:r>
          </w:p>
        </w:tc>
        <w:tc>
          <w:tcPr>
            <w:tcW w:w="3689" w:type="pct"/>
            <w:tcBorders>
              <w:top w:val="single" w:color="000000" w:sz="2" w:space="0"/>
              <w:left w:val="single" w:color="000000" w:sz="2" w:space="0"/>
              <w:bottom w:val="single" w:color="000000" w:sz="2" w:space="0"/>
              <w:right w:val="single" w:color="000000" w:sz="2" w:space="0"/>
            </w:tcBorders>
            <w:noWrap w:val="0"/>
            <w:vAlign w:val="center"/>
          </w:tcPr>
          <w:p w14:paraId="37522F3F">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□召开</w:t>
            </w:r>
          </w:p>
          <w:p w14:paraId="663127F9">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b/>
                <w:snapToGrid w:val="0"/>
                <w:color w:val="auto"/>
                <w:sz w:val="21"/>
                <w:szCs w:val="21"/>
                <w:highlight w:val="none"/>
              </w:rPr>
              <w:sym w:font="Wingdings" w:char="F0FE"/>
            </w:r>
            <w:r>
              <w:rPr>
                <w:rFonts w:hint="eastAsia" w:asciiTheme="minorEastAsia" w:hAnsiTheme="minorEastAsia" w:eastAsiaTheme="minorEastAsia" w:cstheme="minorEastAsia"/>
                <w:color w:val="auto"/>
                <w:kern w:val="0"/>
                <w:sz w:val="21"/>
                <w:szCs w:val="21"/>
                <w:highlight w:val="none"/>
                <w:lang w:val="zh-CN"/>
              </w:rPr>
              <w:t>不召开</w:t>
            </w:r>
          </w:p>
        </w:tc>
      </w:tr>
      <w:tr w14:paraId="7AE76A97">
        <w:tblPrEx>
          <w:tblCellMar>
            <w:top w:w="0" w:type="dxa"/>
            <w:left w:w="108" w:type="dxa"/>
            <w:bottom w:w="0" w:type="dxa"/>
            <w:right w:w="108" w:type="dxa"/>
          </w:tblCellMar>
        </w:tblPrEx>
        <w:trPr>
          <w:trHeight w:val="627" w:hRule="atLeast"/>
        </w:trPr>
        <w:tc>
          <w:tcPr>
            <w:tcW w:w="339" w:type="pct"/>
            <w:tcBorders>
              <w:top w:val="single" w:color="000000" w:sz="2" w:space="0"/>
              <w:left w:val="single" w:color="000000" w:sz="2" w:space="0"/>
              <w:bottom w:val="single" w:color="000000" w:sz="2" w:space="0"/>
              <w:right w:val="single" w:color="000000" w:sz="2" w:space="0"/>
            </w:tcBorders>
            <w:noWrap w:val="0"/>
            <w:vAlign w:val="center"/>
          </w:tcPr>
          <w:p w14:paraId="64EFE1D0">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jc w:val="center"/>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en-US" w:eastAsia="zh-CN"/>
              </w:rPr>
              <w:t>9</w:t>
            </w:r>
          </w:p>
        </w:tc>
        <w:tc>
          <w:tcPr>
            <w:tcW w:w="970" w:type="pct"/>
            <w:tcBorders>
              <w:top w:val="single" w:color="000000" w:sz="2" w:space="0"/>
              <w:left w:val="single" w:color="000000" w:sz="2" w:space="0"/>
              <w:bottom w:val="single" w:color="000000" w:sz="2" w:space="0"/>
              <w:right w:val="single" w:color="000000" w:sz="2" w:space="0"/>
            </w:tcBorders>
            <w:noWrap w:val="0"/>
            <w:vAlign w:val="center"/>
          </w:tcPr>
          <w:p w14:paraId="2C4C9B29">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投标截止时间</w:t>
            </w:r>
          </w:p>
        </w:tc>
        <w:tc>
          <w:tcPr>
            <w:tcW w:w="3689" w:type="pct"/>
            <w:tcBorders>
              <w:top w:val="single" w:color="000000" w:sz="2" w:space="0"/>
              <w:left w:val="single" w:color="000000" w:sz="2" w:space="0"/>
              <w:bottom w:val="single" w:color="000000" w:sz="2" w:space="0"/>
              <w:right w:val="single" w:color="000000" w:sz="2" w:space="0"/>
            </w:tcBorders>
            <w:noWrap w:val="0"/>
            <w:vAlign w:val="center"/>
          </w:tcPr>
          <w:p w14:paraId="581604F6">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见采购公告</w:t>
            </w:r>
          </w:p>
        </w:tc>
      </w:tr>
      <w:tr w14:paraId="00EAB6EF">
        <w:tblPrEx>
          <w:tblCellMar>
            <w:top w:w="0" w:type="dxa"/>
            <w:left w:w="108" w:type="dxa"/>
            <w:bottom w:w="0" w:type="dxa"/>
            <w:right w:w="108" w:type="dxa"/>
          </w:tblCellMar>
        </w:tblPrEx>
        <w:trPr>
          <w:trHeight w:val="90" w:hRule="atLeast"/>
        </w:trPr>
        <w:tc>
          <w:tcPr>
            <w:tcW w:w="339" w:type="pct"/>
            <w:tcBorders>
              <w:top w:val="single" w:color="000000" w:sz="2" w:space="0"/>
              <w:left w:val="single" w:color="000000" w:sz="2" w:space="0"/>
              <w:bottom w:val="single" w:color="000000" w:sz="2" w:space="0"/>
              <w:right w:val="single" w:color="000000" w:sz="2" w:space="0"/>
            </w:tcBorders>
            <w:noWrap w:val="0"/>
            <w:vAlign w:val="center"/>
          </w:tcPr>
          <w:p w14:paraId="271922C6">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jc w:val="center"/>
              <w:textAlignment w:val="auto"/>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10</w:t>
            </w:r>
          </w:p>
        </w:tc>
        <w:tc>
          <w:tcPr>
            <w:tcW w:w="970" w:type="pct"/>
            <w:tcBorders>
              <w:top w:val="single" w:color="000000" w:sz="2" w:space="0"/>
              <w:left w:val="single" w:color="000000" w:sz="2" w:space="0"/>
              <w:bottom w:val="single" w:color="000000" w:sz="2" w:space="0"/>
              <w:right w:val="single" w:color="000000" w:sz="2" w:space="0"/>
            </w:tcBorders>
            <w:noWrap w:val="0"/>
            <w:vAlign w:val="center"/>
          </w:tcPr>
          <w:p w14:paraId="4AAD7AB8">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分包</w:t>
            </w:r>
          </w:p>
        </w:tc>
        <w:tc>
          <w:tcPr>
            <w:tcW w:w="3689" w:type="pct"/>
            <w:tcBorders>
              <w:top w:val="single" w:color="000000" w:sz="2" w:space="0"/>
              <w:left w:val="single" w:color="000000" w:sz="2" w:space="0"/>
              <w:bottom w:val="single" w:color="000000" w:sz="2" w:space="0"/>
              <w:right w:val="single" w:color="000000" w:sz="2" w:space="0"/>
            </w:tcBorders>
            <w:noWrap w:val="0"/>
            <w:vAlign w:val="center"/>
          </w:tcPr>
          <w:p w14:paraId="5D65E610">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□允许</w:t>
            </w:r>
          </w:p>
          <w:p w14:paraId="0337591C">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b/>
                <w:snapToGrid w:val="0"/>
                <w:color w:val="auto"/>
                <w:sz w:val="21"/>
                <w:szCs w:val="21"/>
                <w:highlight w:val="none"/>
              </w:rPr>
              <w:sym w:font="Wingdings" w:char="F0FE"/>
            </w:r>
            <w:r>
              <w:rPr>
                <w:rFonts w:hint="eastAsia" w:asciiTheme="minorEastAsia" w:hAnsiTheme="minorEastAsia" w:eastAsiaTheme="minorEastAsia" w:cstheme="minorEastAsia"/>
                <w:color w:val="auto"/>
                <w:kern w:val="0"/>
                <w:sz w:val="21"/>
                <w:szCs w:val="21"/>
                <w:highlight w:val="none"/>
                <w:lang w:val="zh-CN"/>
              </w:rPr>
              <w:t>不允许</w:t>
            </w:r>
          </w:p>
        </w:tc>
      </w:tr>
      <w:tr w14:paraId="63352393">
        <w:tblPrEx>
          <w:tblCellMar>
            <w:top w:w="0" w:type="dxa"/>
            <w:left w:w="108" w:type="dxa"/>
            <w:bottom w:w="0" w:type="dxa"/>
            <w:right w:w="108" w:type="dxa"/>
          </w:tblCellMar>
        </w:tblPrEx>
        <w:trPr>
          <w:trHeight w:val="616" w:hRule="atLeast"/>
        </w:trPr>
        <w:tc>
          <w:tcPr>
            <w:tcW w:w="339" w:type="pct"/>
            <w:tcBorders>
              <w:top w:val="single" w:color="000000" w:sz="2" w:space="0"/>
              <w:left w:val="single" w:color="000000" w:sz="2" w:space="0"/>
              <w:bottom w:val="single" w:color="000000" w:sz="2" w:space="0"/>
              <w:right w:val="single" w:color="000000" w:sz="2" w:space="0"/>
            </w:tcBorders>
            <w:noWrap w:val="0"/>
            <w:vAlign w:val="center"/>
          </w:tcPr>
          <w:p w14:paraId="4F8423D8">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jc w:val="center"/>
              <w:textAlignment w:val="auto"/>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11</w:t>
            </w:r>
          </w:p>
        </w:tc>
        <w:tc>
          <w:tcPr>
            <w:tcW w:w="970" w:type="pct"/>
            <w:tcBorders>
              <w:top w:val="single" w:color="000000" w:sz="2" w:space="0"/>
              <w:left w:val="single" w:color="000000" w:sz="2" w:space="0"/>
              <w:bottom w:val="single" w:color="000000" w:sz="2" w:space="0"/>
              <w:right w:val="single" w:color="000000" w:sz="2" w:space="0"/>
            </w:tcBorders>
            <w:noWrap w:val="0"/>
            <w:vAlign w:val="center"/>
          </w:tcPr>
          <w:p w14:paraId="455BD95F">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偏离</w:t>
            </w:r>
          </w:p>
        </w:tc>
        <w:tc>
          <w:tcPr>
            <w:tcW w:w="3689" w:type="pct"/>
            <w:tcBorders>
              <w:top w:val="single" w:color="000000" w:sz="2" w:space="0"/>
              <w:left w:val="single" w:color="000000" w:sz="2" w:space="0"/>
              <w:bottom w:val="single" w:color="000000" w:sz="2" w:space="0"/>
              <w:right w:val="single" w:color="000000" w:sz="2" w:space="0"/>
            </w:tcBorders>
            <w:noWrap w:val="0"/>
            <w:vAlign w:val="center"/>
          </w:tcPr>
          <w:p w14:paraId="22368E10">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偏差允许幅度及其处理方法：不允许负偏差。</w:t>
            </w:r>
          </w:p>
        </w:tc>
      </w:tr>
      <w:tr w14:paraId="6D3ED73A">
        <w:tblPrEx>
          <w:tblCellMar>
            <w:top w:w="0" w:type="dxa"/>
            <w:left w:w="108" w:type="dxa"/>
            <w:bottom w:w="0" w:type="dxa"/>
            <w:right w:w="108" w:type="dxa"/>
          </w:tblCellMar>
        </w:tblPrEx>
        <w:trPr>
          <w:trHeight w:val="566" w:hRule="atLeast"/>
        </w:trPr>
        <w:tc>
          <w:tcPr>
            <w:tcW w:w="339" w:type="pct"/>
            <w:tcBorders>
              <w:top w:val="single" w:color="000000" w:sz="2" w:space="0"/>
              <w:left w:val="single" w:color="000000" w:sz="2" w:space="0"/>
              <w:bottom w:val="single" w:color="000000" w:sz="2" w:space="0"/>
              <w:right w:val="single" w:color="000000" w:sz="2" w:space="0"/>
            </w:tcBorders>
            <w:noWrap w:val="0"/>
            <w:vAlign w:val="center"/>
          </w:tcPr>
          <w:p w14:paraId="392A3E2C">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jc w:val="center"/>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rPr>
              <w:t>1</w:t>
            </w:r>
            <w:r>
              <w:rPr>
                <w:rFonts w:hint="eastAsia" w:asciiTheme="minorEastAsia" w:hAnsiTheme="minorEastAsia" w:eastAsiaTheme="minorEastAsia" w:cstheme="minorEastAsia"/>
                <w:color w:val="auto"/>
                <w:kern w:val="0"/>
                <w:sz w:val="21"/>
                <w:szCs w:val="21"/>
                <w:highlight w:val="none"/>
                <w:lang w:val="en-US" w:eastAsia="zh-CN"/>
              </w:rPr>
              <w:t>2</w:t>
            </w:r>
          </w:p>
        </w:tc>
        <w:tc>
          <w:tcPr>
            <w:tcW w:w="970" w:type="pct"/>
            <w:tcBorders>
              <w:top w:val="single" w:color="000000" w:sz="2" w:space="0"/>
              <w:left w:val="single" w:color="000000" w:sz="2" w:space="0"/>
              <w:bottom w:val="single" w:color="000000" w:sz="2" w:space="0"/>
              <w:right w:val="single" w:color="000000" w:sz="2" w:space="0"/>
            </w:tcBorders>
            <w:noWrap w:val="0"/>
            <w:vAlign w:val="center"/>
          </w:tcPr>
          <w:p w14:paraId="7D6DC185">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投标有效期</w:t>
            </w:r>
          </w:p>
        </w:tc>
        <w:tc>
          <w:tcPr>
            <w:tcW w:w="3689" w:type="pct"/>
            <w:tcBorders>
              <w:top w:val="single" w:color="000000" w:sz="2" w:space="0"/>
              <w:left w:val="single" w:color="000000" w:sz="2" w:space="0"/>
              <w:bottom w:val="single" w:color="000000" w:sz="2" w:space="0"/>
              <w:right w:val="single" w:color="000000" w:sz="2" w:space="0"/>
            </w:tcBorders>
            <w:noWrap w:val="0"/>
            <w:vAlign w:val="center"/>
          </w:tcPr>
          <w:p w14:paraId="749E8519">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自投标截止时间起生效，有效期90天。</w:t>
            </w:r>
          </w:p>
        </w:tc>
      </w:tr>
      <w:tr w14:paraId="1EE360E3">
        <w:tblPrEx>
          <w:tblCellMar>
            <w:top w:w="0" w:type="dxa"/>
            <w:left w:w="108" w:type="dxa"/>
            <w:bottom w:w="0" w:type="dxa"/>
            <w:right w:w="108" w:type="dxa"/>
          </w:tblCellMar>
        </w:tblPrEx>
        <w:trPr>
          <w:trHeight w:val="479" w:hRule="atLeast"/>
        </w:trPr>
        <w:tc>
          <w:tcPr>
            <w:tcW w:w="339" w:type="pct"/>
            <w:tcBorders>
              <w:top w:val="single" w:color="000000" w:sz="2" w:space="0"/>
              <w:left w:val="single" w:color="000000" w:sz="2" w:space="0"/>
              <w:bottom w:val="single" w:color="000000" w:sz="2" w:space="0"/>
              <w:right w:val="single" w:color="000000" w:sz="2" w:space="0"/>
            </w:tcBorders>
            <w:noWrap w:val="0"/>
            <w:vAlign w:val="center"/>
          </w:tcPr>
          <w:p w14:paraId="6821FCFA">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jc w:val="center"/>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rPr>
              <w:t>1</w:t>
            </w:r>
            <w:r>
              <w:rPr>
                <w:rFonts w:hint="eastAsia" w:asciiTheme="minorEastAsia" w:hAnsiTheme="minorEastAsia" w:eastAsiaTheme="minorEastAsia" w:cstheme="minorEastAsia"/>
                <w:color w:val="auto"/>
                <w:kern w:val="0"/>
                <w:sz w:val="21"/>
                <w:szCs w:val="21"/>
                <w:highlight w:val="none"/>
                <w:lang w:val="en-US" w:eastAsia="zh-CN"/>
              </w:rPr>
              <w:t>3</w:t>
            </w:r>
          </w:p>
        </w:tc>
        <w:tc>
          <w:tcPr>
            <w:tcW w:w="970" w:type="pct"/>
            <w:tcBorders>
              <w:top w:val="single" w:color="000000" w:sz="2" w:space="0"/>
              <w:left w:val="single" w:color="000000" w:sz="2" w:space="0"/>
              <w:bottom w:val="single" w:color="000000" w:sz="2" w:space="0"/>
              <w:right w:val="single" w:color="000000" w:sz="2" w:space="0"/>
            </w:tcBorders>
            <w:noWrap w:val="0"/>
            <w:vAlign w:val="center"/>
          </w:tcPr>
          <w:p w14:paraId="6DCF5AB5">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jc w:val="center"/>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b/>
                <w:bCs/>
                <w:color w:val="auto"/>
                <w:kern w:val="0"/>
                <w:sz w:val="21"/>
                <w:szCs w:val="21"/>
                <w:highlight w:val="none"/>
                <w:lang w:val="zh-CN"/>
              </w:rPr>
              <w:t>投标保证金</w:t>
            </w:r>
          </w:p>
        </w:tc>
        <w:tc>
          <w:tcPr>
            <w:tcW w:w="3689" w:type="pct"/>
            <w:tcBorders>
              <w:top w:val="single" w:color="000000" w:sz="2" w:space="0"/>
              <w:left w:val="single" w:color="000000" w:sz="2" w:space="0"/>
              <w:bottom w:val="single" w:color="000000" w:sz="2" w:space="0"/>
              <w:right w:val="single" w:color="000000" w:sz="2" w:space="0"/>
            </w:tcBorders>
            <w:noWrap w:val="0"/>
            <w:vAlign w:val="center"/>
          </w:tcPr>
          <w:p w14:paraId="3F9F6AE5">
            <w:pPr>
              <w:keepNext w:val="0"/>
              <w:keepLines w:val="0"/>
              <w:pageBreakBefore w:val="0"/>
              <w:widowControl w:val="0"/>
              <w:shd w:val="clear" w:color="auto" w:fill="auto"/>
              <w:tabs>
                <w:tab w:val="left" w:pos="360"/>
              </w:tabs>
              <w:kinsoku/>
              <w:wordWrap/>
              <w:overflowPunct/>
              <w:topLinePunct w:val="0"/>
              <w:bidi w:val="0"/>
              <w:spacing w:line="360" w:lineRule="auto"/>
              <w:textAlignment w:val="auto"/>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详见采购公告</w:t>
            </w:r>
          </w:p>
        </w:tc>
      </w:tr>
      <w:tr w14:paraId="5C4B9E4A">
        <w:tblPrEx>
          <w:tblCellMar>
            <w:top w:w="0" w:type="dxa"/>
            <w:left w:w="108" w:type="dxa"/>
            <w:bottom w:w="0" w:type="dxa"/>
            <w:right w:w="108" w:type="dxa"/>
          </w:tblCellMar>
        </w:tblPrEx>
        <w:trPr>
          <w:trHeight w:val="890" w:hRule="atLeast"/>
        </w:trPr>
        <w:tc>
          <w:tcPr>
            <w:tcW w:w="339" w:type="pct"/>
            <w:tcBorders>
              <w:top w:val="single" w:color="000000" w:sz="2" w:space="0"/>
              <w:left w:val="single" w:color="000000" w:sz="2" w:space="0"/>
              <w:bottom w:val="single" w:color="000000" w:sz="2" w:space="0"/>
              <w:right w:val="single" w:color="000000" w:sz="2" w:space="0"/>
            </w:tcBorders>
            <w:noWrap w:val="0"/>
            <w:vAlign w:val="center"/>
          </w:tcPr>
          <w:p w14:paraId="3CBCB1AA">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jc w:val="center"/>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rPr>
              <w:t>1</w:t>
            </w:r>
            <w:r>
              <w:rPr>
                <w:rFonts w:hint="eastAsia" w:asciiTheme="minorEastAsia" w:hAnsiTheme="minorEastAsia" w:eastAsiaTheme="minorEastAsia" w:cstheme="minorEastAsia"/>
                <w:color w:val="auto"/>
                <w:kern w:val="0"/>
                <w:sz w:val="21"/>
                <w:szCs w:val="21"/>
                <w:highlight w:val="none"/>
                <w:lang w:val="en-US" w:eastAsia="zh-CN"/>
              </w:rPr>
              <w:t>4</w:t>
            </w:r>
          </w:p>
        </w:tc>
        <w:tc>
          <w:tcPr>
            <w:tcW w:w="970" w:type="pct"/>
            <w:tcBorders>
              <w:top w:val="single" w:color="000000" w:sz="2" w:space="0"/>
              <w:left w:val="single" w:color="000000" w:sz="2" w:space="0"/>
              <w:bottom w:val="single" w:color="000000" w:sz="2" w:space="0"/>
              <w:right w:val="single" w:color="000000" w:sz="2" w:space="0"/>
            </w:tcBorders>
            <w:noWrap w:val="0"/>
            <w:vAlign w:val="center"/>
          </w:tcPr>
          <w:p w14:paraId="392120BB">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jc w:val="center"/>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b/>
                <w:bCs/>
                <w:color w:val="auto"/>
                <w:kern w:val="0"/>
                <w:sz w:val="21"/>
                <w:szCs w:val="21"/>
                <w:highlight w:val="none"/>
              </w:rPr>
              <w:t>投标文件</w:t>
            </w:r>
            <w:r>
              <w:rPr>
                <w:rFonts w:hint="eastAsia" w:asciiTheme="minorEastAsia" w:hAnsiTheme="minorEastAsia" w:eastAsiaTheme="minorEastAsia" w:cstheme="minorEastAsia"/>
                <w:b/>
                <w:bCs/>
                <w:color w:val="auto"/>
                <w:kern w:val="0"/>
                <w:sz w:val="21"/>
                <w:szCs w:val="21"/>
                <w:highlight w:val="none"/>
                <w:lang w:val="zh-CN"/>
              </w:rPr>
              <w:t>的组成</w:t>
            </w:r>
          </w:p>
        </w:tc>
        <w:tc>
          <w:tcPr>
            <w:tcW w:w="3689" w:type="pct"/>
            <w:tcBorders>
              <w:top w:val="single" w:color="000000" w:sz="2" w:space="0"/>
              <w:left w:val="single" w:color="000000" w:sz="2" w:space="0"/>
              <w:bottom w:val="single" w:color="000000" w:sz="2" w:space="0"/>
              <w:right w:val="single" w:color="000000" w:sz="2" w:space="0"/>
            </w:tcBorders>
            <w:noWrap w:val="0"/>
            <w:vAlign w:val="center"/>
          </w:tcPr>
          <w:p w14:paraId="7EB4373A">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b/>
                <w:bCs/>
                <w:color w:val="auto"/>
                <w:kern w:val="0"/>
                <w:sz w:val="21"/>
                <w:szCs w:val="21"/>
                <w:highlight w:val="none"/>
              </w:rPr>
              <w:t>1、</w:t>
            </w:r>
            <w:r>
              <w:rPr>
                <w:rFonts w:hint="eastAsia" w:asciiTheme="minorEastAsia" w:hAnsiTheme="minorEastAsia" w:eastAsiaTheme="minorEastAsia" w:cstheme="minorEastAsia"/>
                <w:b/>
                <w:bCs/>
                <w:color w:val="auto"/>
                <w:kern w:val="0"/>
                <w:sz w:val="21"/>
                <w:szCs w:val="21"/>
                <w:highlight w:val="none"/>
                <w:lang w:val="zh-CN"/>
              </w:rPr>
              <w:t xml:space="preserve">由“资格文件”、“商务技术文件”和“报价文件”三个部分组成。纸质投标文件正本一份，副本五份，共六份。 </w:t>
            </w:r>
          </w:p>
          <w:p w14:paraId="64F976BA">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2、电子投标文件U盘一份，电子投标文件为资格文件、商务技术文件、报价文件等三部分完整投标文件签字盖章后的PDF格式扫描文件。电子投标文件密封于“报价文件”密封袋内。</w:t>
            </w:r>
          </w:p>
        </w:tc>
      </w:tr>
      <w:tr w14:paraId="483ECAA7">
        <w:tblPrEx>
          <w:tblCellMar>
            <w:top w:w="0" w:type="dxa"/>
            <w:left w:w="108" w:type="dxa"/>
            <w:bottom w:w="0" w:type="dxa"/>
            <w:right w:w="108" w:type="dxa"/>
          </w:tblCellMar>
        </w:tblPrEx>
        <w:trPr>
          <w:trHeight w:val="735" w:hRule="atLeast"/>
        </w:trPr>
        <w:tc>
          <w:tcPr>
            <w:tcW w:w="339" w:type="pct"/>
            <w:tcBorders>
              <w:top w:val="single" w:color="000000" w:sz="2" w:space="0"/>
              <w:left w:val="single" w:color="000000" w:sz="2" w:space="0"/>
              <w:bottom w:val="single" w:color="000000" w:sz="2" w:space="0"/>
              <w:right w:val="single" w:color="000000" w:sz="2" w:space="0"/>
            </w:tcBorders>
            <w:noWrap w:val="0"/>
            <w:vAlign w:val="center"/>
          </w:tcPr>
          <w:p w14:paraId="6448B74D">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jc w:val="center"/>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rPr>
              <w:t>1</w:t>
            </w:r>
            <w:r>
              <w:rPr>
                <w:rFonts w:hint="eastAsia" w:asciiTheme="minorEastAsia" w:hAnsiTheme="minorEastAsia" w:eastAsiaTheme="minorEastAsia" w:cstheme="minorEastAsia"/>
                <w:color w:val="auto"/>
                <w:kern w:val="0"/>
                <w:sz w:val="21"/>
                <w:szCs w:val="21"/>
                <w:highlight w:val="none"/>
                <w:lang w:val="en-US" w:eastAsia="zh-CN"/>
              </w:rPr>
              <w:t>5</w:t>
            </w:r>
          </w:p>
        </w:tc>
        <w:tc>
          <w:tcPr>
            <w:tcW w:w="970" w:type="pct"/>
            <w:tcBorders>
              <w:top w:val="single" w:color="000000" w:sz="2" w:space="0"/>
              <w:left w:val="single" w:color="000000" w:sz="2" w:space="0"/>
              <w:bottom w:val="single" w:color="000000" w:sz="2" w:space="0"/>
              <w:right w:val="single" w:color="000000" w:sz="2" w:space="0"/>
            </w:tcBorders>
            <w:noWrap w:val="0"/>
            <w:vAlign w:val="center"/>
          </w:tcPr>
          <w:p w14:paraId="1B5A78A4">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开标时间</w:t>
            </w:r>
          </w:p>
          <w:p w14:paraId="7A528E6F">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和地点</w:t>
            </w:r>
          </w:p>
        </w:tc>
        <w:tc>
          <w:tcPr>
            <w:tcW w:w="3689" w:type="pct"/>
            <w:tcBorders>
              <w:top w:val="single" w:color="000000" w:sz="2" w:space="0"/>
              <w:left w:val="single" w:color="000000" w:sz="2" w:space="0"/>
              <w:bottom w:val="single" w:color="000000" w:sz="2" w:space="0"/>
              <w:right w:val="single" w:color="000000" w:sz="2" w:space="0"/>
            </w:tcBorders>
            <w:noWrap w:val="0"/>
            <w:vAlign w:val="center"/>
          </w:tcPr>
          <w:p w14:paraId="123C938A">
            <w:pPr>
              <w:keepNext w:val="0"/>
              <w:keepLines w:val="0"/>
              <w:pageBreakBefore w:val="0"/>
              <w:widowControl w:val="0"/>
              <w:shd w:val="clear" w:color="auto" w:fill="auto"/>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详见采购公告</w:t>
            </w:r>
          </w:p>
        </w:tc>
      </w:tr>
      <w:tr w14:paraId="65C9B9E0">
        <w:tblPrEx>
          <w:tblCellMar>
            <w:top w:w="0" w:type="dxa"/>
            <w:left w:w="108" w:type="dxa"/>
            <w:bottom w:w="0" w:type="dxa"/>
            <w:right w:w="108" w:type="dxa"/>
          </w:tblCellMar>
        </w:tblPrEx>
        <w:trPr>
          <w:trHeight w:val="762" w:hRule="atLeast"/>
        </w:trPr>
        <w:tc>
          <w:tcPr>
            <w:tcW w:w="339" w:type="pct"/>
            <w:tcBorders>
              <w:top w:val="single" w:color="000000" w:sz="2" w:space="0"/>
              <w:left w:val="single" w:color="000000" w:sz="2" w:space="0"/>
              <w:bottom w:val="single" w:color="000000" w:sz="2" w:space="0"/>
              <w:right w:val="single" w:color="000000" w:sz="2" w:space="0"/>
            </w:tcBorders>
            <w:noWrap w:val="0"/>
            <w:vAlign w:val="center"/>
          </w:tcPr>
          <w:p w14:paraId="67E6BD62">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jc w:val="center"/>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rPr>
              <w:t>1</w:t>
            </w:r>
            <w:r>
              <w:rPr>
                <w:rFonts w:hint="eastAsia" w:asciiTheme="minorEastAsia" w:hAnsiTheme="minorEastAsia" w:eastAsiaTheme="minorEastAsia" w:cstheme="minorEastAsia"/>
                <w:color w:val="auto"/>
                <w:kern w:val="0"/>
                <w:sz w:val="21"/>
                <w:szCs w:val="21"/>
                <w:highlight w:val="none"/>
                <w:lang w:val="en-US" w:eastAsia="zh-CN"/>
              </w:rPr>
              <w:t>6</w:t>
            </w:r>
          </w:p>
        </w:tc>
        <w:tc>
          <w:tcPr>
            <w:tcW w:w="970" w:type="pct"/>
            <w:tcBorders>
              <w:top w:val="single" w:color="000000" w:sz="2" w:space="0"/>
              <w:left w:val="single" w:color="000000" w:sz="2" w:space="0"/>
              <w:bottom w:val="single" w:color="000000" w:sz="2" w:space="0"/>
              <w:right w:val="single" w:color="000000" w:sz="2" w:space="0"/>
            </w:tcBorders>
            <w:noWrap w:val="0"/>
            <w:vAlign w:val="center"/>
          </w:tcPr>
          <w:p w14:paraId="15D0BDC4">
            <w:pPr>
              <w:keepNext w:val="0"/>
              <w:keepLines w:val="0"/>
              <w:pageBreakBefore w:val="0"/>
              <w:widowControl w:val="0"/>
              <w:shd w:val="clear" w:color="auto" w:fill="auto"/>
              <w:kinsoku/>
              <w:wordWrap/>
              <w:overflowPunct/>
              <w:topLinePunct w:val="0"/>
              <w:bidi w:val="0"/>
              <w:snapToGrid w:val="0"/>
              <w:spacing w:line="360" w:lineRule="auto"/>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评标委员会</w:t>
            </w:r>
          </w:p>
          <w:p w14:paraId="5F73B28C">
            <w:pPr>
              <w:keepNext w:val="0"/>
              <w:keepLines w:val="0"/>
              <w:pageBreakBefore w:val="0"/>
              <w:widowControl w:val="0"/>
              <w:shd w:val="clear" w:color="auto" w:fill="auto"/>
              <w:kinsoku/>
              <w:wordWrap/>
              <w:overflowPunct/>
              <w:topLinePunct w:val="0"/>
              <w:bidi w:val="0"/>
              <w:snapToGrid w:val="0"/>
              <w:spacing w:line="360" w:lineRule="auto"/>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rPr>
              <w:t>的组建</w:t>
            </w:r>
          </w:p>
        </w:tc>
        <w:tc>
          <w:tcPr>
            <w:tcW w:w="3689" w:type="pct"/>
            <w:tcBorders>
              <w:top w:val="single" w:color="000000" w:sz="2" w:space="0"/>
              <w:left w:val="single" w:color="000000" w:sz="2" w:space="0"/>
              <w:bottom w:val="single" w:color="000000" w:sz="2" w:space="0"/>
              <w:right w:val="single" w:color="000000" w:sz="2" w:space="0"/>
            </w:tcBorders>
            <w:noWrap w:val="0"/>
            <w:vAlign w:val="center"/>
          </w:tcPr>
          <w:p w14:paraId="31384841">
            <w:pPr>
              <w:keepNext w:val="0"/>
              <w:keepLines w:val="0"/>
              <w:pageBreakBefore w:val="0"/>
              <w:widowControl w:val="0"/>
              <w:shd w:val="clear" w:color="auto" w:fill="auto"/>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bCs/>
                <w:color w:val="auto"/>
                <w:sz w:val="21"/>
                <w:szCs w:val="21"/>
                <w:highlight w:val="none"/>
              </w:rPr>
              <w:t>采购人依法组建评标委员会。</w:t>
            </w:r>
          </w:p>
        </w:tc>
      </w:tr>
      <w:tr w14:paraId="53CB0E10">
        <w:tblPrEx>
          <w:tblCellMar>
            <w:top w:w="0" w:type="dxa"/>
            <w:left w:w="108" w:type="dxa"/>
            <w:bottom w:w="0" w:type="dxa"/>
            <w:right w:w="108" w:type="dxa"/>
          </w:tblCellMar>
        </w:tblPrEx>
        <w:trPr>
          <w:trHeight w:val="736" w:hRule="atLeast"/>
        </w:trPr>
        <w:tc>
          <w:tcPr>
            <w:tcW w:w="339" w:type="pct"/>
            <w:tcBorders>
              <w:top w:val="single" w:color="000000" w:sz="2" w:space="0"/>
              <w:left w:val="single" w:color="000000" w:sz="2" w:space="0"/>
              <w:bottom w:val="single" w:color="000000" w:sz="2" w:space="0"/>
              <w:right w:val="single" w:color="000000" w:sz="2" w:space="0"/>
            </w:tcBorders>
            <w:noWrap w:val="0"/>
            <w:vAlign w:val="center"/>
          </w:tcPr>
          <w:p w14:paraId="5E2B91BC">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jc w:val="center"/>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en-US" w:eastAsia="zh-CN"/>
              </w:rPr>
              <w:t>17</w:t>
            </w:r>
          </w:p>
        </w:tc>
        <w:tc>
          <w:tcPr>
            <w:tcW w:w="970" w:type="pct"/>
            <w:tcBorders>
              <w:top w:val="single" w:color="000000" w:sz="2" w:space="0"/>
              <w:left w:val="single" w:color="000000" w:sz="2" w:space="0"/>
              <w:bottom w:val="single" w:color="000000" w:sz="2" w:space="0"/>
              <w:right w:val="single" w:color="000000" w:sz="2" w:space="0"/>
            </w:tcBorders>
            <w:noWrap w:val="0"/>
            <w:vAlign w:val="center"/>
          </w:tcPr>
          <w:p w14:paraId="2A555EF3">
            <w:pPr>
              <w:keepNext w:val="0"/>
              <w:keepLines w:val="0"/>
              <w:pageBreakBefore w:val="0"/>
              <w:widowControl w:val="0"/>
              <w:shd w:val="clear" w:color="auto" w:fill="auto"/>
              <w:kinsoku/>
              <w:wordWrap/>
              <w:overflowPunct/>
              <w:topLinePunct w:val="0"/>
              <w:bidi w:val="0"/>
              <w:snapToGrid w:val="0"/>
              <w:spacing w:line="360" w:lineRule="auto"/>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rPr>
              <w:t>履约保证金</w:t>
            </w:r>
          </w:p>
        </w:tc>
        <w:tc>
          <w:tcPr>
            <w:tcW w:w="3689" w:type="pct"/>
            <w:tcBorders>
              <w:top w:val="single" w:color="000000" w:sz="2" w:space="0"/>
              <w:left w:val="single" w:color="000000" w:sz="2" w:space="0"/>
              <w:bottom w:val="single" w:color="000000" w:sz="2" w:space="0"/>
              <w:right w:val="single" w:color="000000" w:sz="2" w:space="0"/>
            </w:tcBorders>
            <w:noWrap w:val="0"/>
            <w:vAlign w:val="center"/>
          </w:tcPr>
          <w:p w14:paraId="2453B50F">
            <w:pPr>
              <w:keepNext w:val="0"/>
              <w:keepLines w:val="0"/>
              <w:pageBreakBefore w:val="0"/>
              <w:widowControl w:val="0"/>
              <w:shd w:val="clear" w:color="auto" w:fill="auto"/>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履约保证金的形式：银行转账或保函（银行、保险公司出具）。</w:t>
            </w:r>
          </w:p>
          <w:p w14:paraId="369BBB89">
            <w:pPr>
              <w:keepNext w:val="0"/>
              <w:keepLines w:val="0"/>
              <w:pageBreakBefore w:val="0"/>
              <w:widowControl w:val="0"/>
              <w:shd w:val="clear" w:color="auto" w:fill="auto"/>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履约保证金的金额：</w:t>
            </w:r>
            <w:r>
              <w:rPr>
                <w:rFonts w:hint="eastAsia" w:asciiTheme="minorEastAsia" w:hAnsiTheme="minorEastAsia" w:eastAsiaTheme="minorEastAsia" w:cstheme="minorEastAsia"/>
                <w:b/>
                <w:color w:val="auto"/>
                <w:kern w:val="0"/>
                <w:sz w:val="21"/>
                <w:szCs w:val="21"/>
                <w:highlight w:val="none"/>
              </w:rPr>
              <w:t>合同价款的5%</w:t>
            </w:r>
            <w:r>
              <w:rPr>
                <w:rFonts w:hint="eastAsia" w:asciiTheme="minorEastAsia" w:hAnsiTheme="minorEastAsia" w:eastAsiaTheme="minorEastAsia" w:cstheme="minorEastAsia"/>
                <w:bCs/>
                <w:color w:val="auto"/>
                <w:kern w:val="0"/>
                <w:sz w:val="21"/>
                <w:szCs w:val="21"/>
                <w:highlight w:val="none"/>
              </w:rPr>
              <w:t xml:space="preserve">。 </w:t>
            </w:r>
          </w:p>
        </w:tc>
      </w:tr>
      <w:tr w14:paraId="39B249D7">
        <w:tblPrEx>
          <w:tblCellMar>
            <w:top w:w="0" w:type="dxa"/>
            <w:left w:w="108" w:type="dxa"/>
            <w:bottom w:w="0" w:type="dxa"/>
            <w:right w:w="108" w:type="dxa"/>
          </w:tblCellMar>
        </w:tblPrEx>
        <w:trPr>
          <w:trHeight w:val="890" w:hRule="atLeast"/>
        </w:trPr>
        <w:tc>
          <w:tcPr>
            <w:tcW w:w="339" w:type="pct"/>
            <w:tcBorders>
              <w:top w:val="single" w:color="000000" w:sz="2" w:space="0"/>
              <w:left w:val="single" w:color="000000" w:sz="2" w:space="0"/>
              <w:bottom w:val="single" w:color="000000" w:sz="2" w:space="0"/>
              <w:right w:val="single" w:color="000000" w:sz="2" w:space="0"/>
            </w:tcBorders>
            <w:noWrap w:val="0"/>
            <w:vAlign w:val="center"/>
          </w:tcPr>
          <w:p w14:paraId="1C466630">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jc w:val="center"/>
              <w:textAlignment w:val="auto"/>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18</w:t>
            </w:r>
          </w:p>
        </w:tc>
        <w:tc>
          <w:tcPr>
            <w:tcW w:w="970" w:type="pct"/>
            <w:tcBorders>
              <w:top w:val="single" w:color="000000" w:sz="2" w:space="0"/>
              <w:left w:val="single" w:color="000000" w:sz="2" w:space="0"/>
              <w:bottom w:val="single" w:color="000000" w:sz="2" w:space="0"/>
              <w:right w:val="single" w:color="000000" w:sz="2" w:space="0"/>
            </w:tcBorders>
            <w:noWrap w:val="0"/>
            <w:vAlign w:val="center"/>
          </w:tcPr>
          <w:p w14:paraId="2F2372DC">
            <w:pPr>
              <w:keepNext w:val="0"/>
              <w:keepLines w:val="0"/>
              <w:pageBreakBefore w:val="0"/>
              <w:widowControl w:val="0"/>
              <w:shd w:val="clear" w:color="auto" w:fill="auto"/>
              <w:kinsoku/>
              <w:wordWrap/>
              <w:overflowPunct/>
              <w:topLinePunct w:val="0"/>
              <w:bidi w:val="0"/>
              <w:snapToGrid w:val="0"/>
              <w:spacing w:line="360" w:lineRule="auto"/>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sz w:val="21"/>
                <w:szCs w:val="21"/>
                <w:highlight w:val="none"/>
              </w:rPr>
              <w:t>合同备案</w:t>
            </w:r>
          </w:p>
        </w:tc>
        <w:tc>
          <w:tcPr>
            <w:tcW w:w="3689" w:type="pct"/>
            <w:tcBorders>
              <w:top w:val="single" w:color="000000" w:sz="2" w:space="0"/>
              <w:left w:val="single" w:color="000000" w:sz="2" w:space="0"/>
              <w:bottom w:val="single" w:color="000000" w:sz="2" w:space="0"/>
              <w:right w:val="single" w:color="000000" w:sz="2" w:space="0"/>
            </w:tcBorders>
            <w:noWrap w:val="0"/>
            <w:vAlign w:val="center"/>
          </w:tcPr>
          <w:p w14:paraId="1D09A15C">
            <w:pPr>
              <w:keepNext w:val="0"/>
              <w:keepLines w:val="0"/>
              <w:pageBreakBefore w:val="0"/>
              <w:widowControl w:val="0"/>
              <w:shd w:val="clear" w:color="auto" w:fill="auto"/>
              <w:kinsoku/>
              <w:wordWrap/>
              <w:overflowPunct/>
              <w:topLinePunct w:val="0"/>
              <w:bidi w:val="0"/>
              <w:snapToGrid w:val="0"/>
              <w:spacing w:line="360" w:lineRule="auto"/>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中标供应商</w:t>
            </w:r>
            <w:r>
              <w:rPr>
                <w:rFonts w:hint="eastAsia" w:asciiTheme="minorEastAsia" w:hAnsiTheme="minorEastAsia" w:eastAsiaTheme="minorEastAsia" w:cstheme="minorEastAsia"/>
                <w:color w:val="auto"/>
                <w:sz w:val="21"/>
                <w:szCs w:val="21"/>
                <w:highlight w:val="none"/>
              </w:rPr>
              <w:t>在中标通知书发出之日起30日历天内与采购人签订合同。</w:t>
            </w:r>
          </w:p>
          <w:p w14:paraId="7C34B935">
            <w:pPr>
              <w:keepNext w:val="0"/>
              <w:keepLines w:val="0"/>
              <w:pageBreakBefore w:val="0"/>
              <w:widowControl w:val="0"/>
              <w:shd w:val="clear" w:color="auto" w:fill="auto"/>
              <w:kinsoku/>
              <w:wordWrap/>
              <w:overflowPunct/>
              <w:topLinePunct w:val="0"/>
              <w:bidi w:val="0"/>
              <w:snapToGrid w:val="0"/>
              <w:spacing w:line="360" w:lineRule="auto"/>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中标供应商</w:t>
            </w:r>
            <w:r>
              <w:rPr>
                <w:rFonts w:hint="eastAsia" w:asciiTheme="minorEastAsia" w:hAnsiTheme="minorEastAsia" w:eastAsiaTheme="minorEastAsia" w:cstheme="minorEastAsia"/>
                <w:color w:val="auto"/>
                <w:sz w:val="21"/>
                <w:szCs w:val="21"/>
                <w:highlight w:val="none"/>
              </w:rPr>
              <w:t>与采购人签订合同后，2日历天内将合同扫描件电子版发给采购代理机构：邮箱：</w:t>
            </w:r>
            <w:r>
              <w:rPr>
                <w:rFonts w:hint="eastAsia" w:asciiTheme="minorEastAsia" w:hAnsiTheme="minorEastAsia" w:eastAsiaTheme="minorEastAsia" w:cstheme="minorEastAsia"/>
                <w:b/>
                <w:color w:val="auto"/>
                <w:sz w:val="21"/>
                <w:szCs w:val="21"/>
                <w:highlight w:val="none"/>
                <w:u w:val="single"/>
                <w:lang w:eastAsia="zh-CN"/>
              </w:rPr>
              <w:t>358801740@qq.com</w:t>
            </w:r>
            <w:r>
              <w:rPr>
                <w:rFonts w:hint="eastAsia" w:asciiTheme="minorEastAsia" w:hAnsiTheme="minorEastAsia" w:eastAsiaTheme="minorEastAsia" w:cstheme="minorEastAsia"/>
                <w:color w:val="auto"/>
                <w:sz w:val="21"/>
                <w:szCs w:val="21"/>
                <w:highlight w:val="none"/>
              </w:rPr>
              <w:t>。</w:t>
            </w:r>
          </w:p>
        </w:tc>
      </w:tr>
      <w:tr w14:paraId="71348636">
        <w:tblPrEx>
          <w:tblCellMar>
            <w:top w:w="0" w:type="dxa"/>
            <w:left w:w="108" w:type="dxa"/>
            <w:bottom w:w="0" w:type="dxa"/>
            <w:right w:w="108" w:type="dxa"/>
          </w:tblCellMar>
        </w:tblPrEx>
        <w:trPr>
          <w:trHeight w:val="890" w:hRule="atLeast"/>
        </w:trPr>
        <w:tc>
          <w:tcPr>
            <w:tcW w:w="339" w:type="pct"/>
            <w:tcBorders>
              <w:top w:val="single" w:color="000000" w:sz="2" w:space="0"/>
              <w:left w:val="single" w:color="000000" w:sz="2" w:space="0"/>
              <w:bottom w:val="single" w:color="000000" w:sz="2" w:space="0"/>
              <w:right w:val="single" w:color="000000" w:sz="2" w:space="0"/>
            </w:tcBorders>
            <w:noWrap w:val="0"/>
            <w:vAlign w:val="center"/>
          </w:tcPr>
          <w:p w14:paraId="5A8BC78A">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jc w:val="center"/>
              <w:textAlignment w:val="auto"/>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19</w:t>
            </w:r>
          </w:p>
        </w:tc>
        <w:tc>
          <w:tcPr>
            <w:tcW w:w="970" w:type="pct"/>
            <w:tcBorders>
              <w:top w:val="single" w:color="000000" w:sz="2" w:space="0"/>
              <w:left w:val="single" w:color="000000" w:sz="2" w:space="0"/>
              <w:bottom w:val="single" w:color="000000" w:sz="2" w:space="0"/>
              <w:right w:val="single" w:color="000000" w:sz="2" w:space="0"/>
            </w:tcBorders>
            <w:noWrap w:val="0"/>
            <w:vAlign w:val="center"/>
          </w:tcPr>
          <w:p w14:paraId="561D55E0">
            <w:pPr>
              <w:keepNext w:val="0"/>
              <w:keepLines w:val="0"/>
              <w:pageBreakBefore w:val="0"/>
              <w:widowControl w:val="0"/>
              <w:shd w:val="clear" w:color="auto" w:fill="auto"/>
              <w:kinsoku/>
              <w:wordWrap/>
              <w:overflowPunct/>
              <w:topLinePunct w:val="0"/>
              <w:bidi w:val="0"/>
              <w:snapToGrid w:val="0"/>
              <w:spacing w:line="360" w:lineRule="auto"/>
              <w:jc w:val="center"/>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质疑与投诉</w:t>
            </w:r>
          </w:p>
        </w:tc>
        <w:tc>
          <w:tcPr>
            <w:tcW w:w="3689" w:type="pct"/>
            <w:tcBorders>
              <w:top w:val="single" w:color="000000" w:sz="2" w:space="0"/>
              <w:left w:val="single" w:color="000000" w:sz="2" w:space="0"/>
              <w:bottom w:val="single" w:color="000000" w:sz="2" w:space="0"/>
              <w:right w:val="single" w:color="000000" w:sz="2" w:space="0"/>
            </w:tcBorders>
            <w:noWrap w:val="0"/>
            <w:vAlign w:val="center"/>
          </w:tcPr>
          <w:p w14:paraId="449BC63E">
            <w:pPr>
              <w:keepNext w:val="0"/>
              <w:keepLines w:val="0"/>
              <w:pageBreakBefore w:val="0"/>
              <w:widowControl w:val="0"/>
              <w:shd w:val="clear" w:color="auto" w:fill="auto"/>
              <w:kinsoku/>
              <w:wordWrap/>
              <w:overflowPunct/>
              <w:topLinePunct w:val="0"/>
              <w:bidi w:val="0"/>
              <w:snapToGrid w:val="0"/>
              <w:spacing w:line="360" w:lineRule="auto"/>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1.投标人认为采购文件、采购过程、中标和成交结果使自己的合法权益受到损害的，可以在知道或应知道其权益受到损害之日起七个工作日内以书面形式向采购人或采购代理机构提出质疑。</w:t>
            </w:r>
          </w:p>
          <w:p w14:paraId="3C08C78E">
            <w:pPr>
              <w:keepNext w:val="0"/>
              <w:keepLines w:val="0"/>
              <w:pageBreakBefore w:val="0"/>
              <w:widowControl w:val="0"/>
              <w:shd w:val="clear" w:color="auto" w:fill="auto"/>
              <w:kinsoku/>
              <w:wordWrap/>
              <w:overflowPunct/>
              <w:topLinePunct w:val="0"/>
              <w:bidi w:val="0"/>
              <w:snapToGrid w:val="0"/>
              <w:spacing w:line="360" w:lineRule="auto"/>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采购人或采购代理机构在收到投标人的书面质疑后七个工作日内作出答复，但答复的内容不得涉及商业秘密。质疑投标人对采购人或采购代理机构的答复不满意，可以在答复期满后十五个工作日内向采购人的采购监督管理部门投诉。</w:t>
            </w:r>
          </w:p>
          <w:p w14:paraId="60EC74C3">
            <w:pPr>
              <w:keepNext w:val="0"/>
              <w:keepLines w:val="0"/>
              <w:pageBreakBefore w:val="0"/>
              <w:widowControl w:val="0"/>
              <w:shd w:val="clear" w:color="auto" w:fill="auto"/>
              <w:kinsoku/>
              <w:wordWrap/>
              <w:overflowPunct/>
              <w:topLinePunct w:val="0"/>
              <w:bidi w:val="0"/>
              <w:snapToGrid w:val="0"/>
              <w:spacing w:line="360" w:lineRule="auto"/>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温州交运集团泰顺有限公司</w:t>
            </w:r>
            <w:r>
              <w:rPr>
                <w:rFonts w:hint="eastAsia" w:asciiTheme="minorEastAsia" w:hAnsiTheme="minorEastAsia" w:eastAsiaTheme="minorEastAsia" w:cstheme="minorEastAsia"/>
                <w:color w:val="auto"/>
                <w:sz w:val="21"/>
                <w:szCs w:val="21"/>
                <w:highlight w:val="none"/>
              </w:rPr>
              <w:t>负责对投标人反映的企业本部及所属企业在采购活动中出现的违法违规问题进行投诉回复。投标人认为</w:t>
            </w:r>
            <w:r>
              <w:rPr>
                <w:rFonts w:hint="eastAsia" w:asciiTheme="minorEastAsia" w:hAnsiTheme="minorEastAsia" w:eastAsiaTheme="minorEastAsia" w:cstheme="minorEastAsia"/>
                <w:color w:val="auto"/>
                <w:sz w:val="21"/>
                <w:szCs w:val="21"/>
                <w:highlight w:val="none"/>
                <w:lang w:eastAsia="zh-CN"/>
              </w:rPr>
              <w:t>温州交运集团泰顺有限公司</w:t>
            </w:r>
            <w:r>
              <w:rPr>
                <w:rFonts w:hint="eastAsia" w:asciiTheme="minorEastAsia" w:hAnsiTheme="minorEastAsia" w:eastAsiaTheme="minorEastAsia" w:cstheme="minorEastAsia"/>
                <w:color w:val="auto"/>
                <w:sz w:val="21"/>
                <w:szCs w:val="21"/>
                <w:highlight w:val="none"/>
              </w:rPr>
              <w:t>投诉回复处理结果不合法的，可以采购人或代理机构为对象依法向人民法院提起诉讼。</w:t>
            </w:r>
          </w:p>
        </w:tc>
      </w:tr>
      <w:tr w14:paraId="584619F1">
        <w:tblPrEx>
          <w:tblCellMar>
            <w:top w:w="0" w:type="dxa"/>
            <w:left w:w="108" w:type="dxa"/>
            <w:bottom w:w="0" w:type="dxa"/>
            <w:right w:w="108" w:type="dxa"/>
          </w:tblCellMar>
        </w:tblPrEx>
        <w:trPr>
          <w:trHeight w:val="890" w:hRule="atLeast"/>
        </w:trPr>
        <w:tc>
          <w:tcPr>
            <w:tcW w:w="339" w:type="pct"/>
            <w:tcBorders>
              <w:top w:val="single" w:color="000000" w:sz="2" w:space="0"/>
              <w:left w:val="single" w:color="000000" w:sz="2" w:space="0"/>
              <w:bottom w:val="single" w:color="000000" w:sz="2" w:space="0"/>
              <w:right w:val="single" w:color="000000" w:sz="2" w:space="0"/>
            </w:tcBorders>
            <w:noWrap w:val="0"/>
            <w:vAlign w:val="center"/>
          </w:tcPr>
          <w:p w14:paraId="25AC7DEE">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jc w:val="center"/>
              <w:textAlignment w:val="auto"/>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20</w:t>
            </w:r>
          </w:p>
        </w:tc>
        <w:tc>
          <w:tcPr>
            <w:tcW w:w="970" w:type="pct"/>
            <w:tcBorders>
              <w:top w:val="single" w:color="000000" w:sz="2" w:space="0"/>
              <w:left w:val="single" w:color="000000" w:sz="2" w:space="0"/>
              <w:bottom w:val="single" w:color="000000" w:sz="2" w:space="0"/>
              <w:right w:val="single" w:color="000000" w:sz="2" w:space="0"/>
            </w:tcBorders>
            <w:noWrap w:val="0"/>
            <w:vAlign w:val="center"/>
          </w:tcPr>
          <w:p w14:paraId="1A1AB81C">
            <w:pPr>
              <w:keepNext w:val="0"/>
              <w:keepLines w:val="0"/>
              <w:pageBreakBefore w:val="0"/>
              <w:widowControl w:val="0"/>
              <w:shd w:val="clear" w:color="auto" w:fill="auto"/>
              <w:kinsoku/>
              <w:wordWrap/>
              <w:overflowPunct/>
              <w:topLinePunct w:val="0"/>
              <w:bidi w:val="0"/>
              <w:snapToGrid w:val="0"/>
              <w:spacing w:line="360" w:lineRule="auto"/>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sz w:val="21"/>
                <w:szCs w:val="21"/>
                <w:highlight w:val="none"/>
              </w:rPr>
              <w:t>合同履约管理</w:t>
            </w:r>
          </w:p>
        </w:tc>
        <w:tc>
          <w:tcPr>
            <w:tcW w:w="3689" w:type="pct"/>
            <w:tcBorders>
              <w:top w:val="single" w:color="000000" w:sz="2" w:space="0"/>
              <w:left w:val="single" w:color="000000" w:sz="2" w:space="0"/>
              <w:bottom w:val="single" w:color="000000" w:sz="2" w:space="0"/>
              <w:right w:val="single" w:color="000000" w:sz="2" w:space="0"/>
            </w:tcBorders>
            <w:noWrap w:val="0"/>
            <w:vAlign w:val="center"/>
          </w:tcPr>
          <w:p w14:paraId="5E388AEA">
            <w:pPr>
              <w:keepNext w:val="0"/>
              <w:keepLines w:val="0"/>
              <w:pageBreakBefore w:val="0"/>
              <w:widowControl w:val="0"/>
              <w:shd w:val="clear" w:color="auto" w:fill="auto"/>
              <w:kinsoku/>
              <w:wordWrap/>
              <w:overflowPunct/>
              <w:topLinePunct w:val="0"/>
              <w:bidi w:val="0"/>
              <w:snapToGrid w:val="0"/>
              <w:spacing w:line="360" w:lineRule="auto"/>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sz w:val="21"/>
                <w:szCs w:val="21"/>
                <w:highlight w:val="none"/>
              </w:rPr>
              <w:t>合同签订后，采购人依法加强对合同履约进行管理，并在中标单位服务、项目验收等重要关节，如实填写《合同验收报告》（或考核资料），并及时向监管部门报告验收过程中遇到的问题。</w:t>
            </w:r>
          </w:p>
        </w:tc>
      </w:tr>
      <w:tr w14:paraId="4324EF8A">
        <w:tblPrEx>
          <w:tblCellMar>
            <w:top w:w="0" w:type="dxa"/>
            <w:left w:w="108" w:type="dxa"/>
            <w:bottom w:w="0" w:type="dxa"/>
            <w:right w:w="108" w:type="dxa"/>
          </w:tblCellMar>
        </w:tblPrEx>
        <w:trPr>
          <w:trHeight w:val="312" w:hRule="atLeast"/>
        </w:trPr>
        <w:tc>
          <w:tcPr>
            <w:tcW w:w="339" w:type="pct"/>
            <w:tcBorders>
              <w:top w:val="single" w:color="000000" w:sz="2" w:space="0"/>
              <w:left w:val="single" w:color="000000" w:sz="2" w:space="0"/>
              <w:bottom w:val="single" w:color="000000" w:sz="2" w:space="0"/>
              <w:right w:val="single" w:color="000000" w:sz="2" w:space="0"/>
            </w:tcBorders>
            <w:noWrap w:val="0"/>
            <w:vAlign w:val="center"/>
          </w:tcPr>
          <w:p w14:paraId="3C142A45">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jc w:val="center"/>
              <w:textAlignment w:val="auto"/>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21</w:t>
            </w:r>
          </w:p>
        </w:tc>
        <w:tc>
          <w:tcPr>
            <w:tcW w:w="970" w:type="pct"/>
            <w:tcBorders>
              <w:top w:val="single" w:color="000000" w:sz="2" w:space="0"/>
              <w:left w:val="single" w:color="000000" w:sz="2" w:space="0"/>
              <w:bottom w:val="single" w:color="000000" w:sz="2" w:space="0"/>
              <w:right w:val="single" w:color="000000" w:sz="2" w:space="0"/>
            </w:tcBorders>
            <w:noWrap w:val="0"/>
            <w:vAlign w:val="center"/>
          </w:tcPr>
          <w:p w14:paraId="34317DB9">
            <w:pPr>
              <w:keepNext w:val="0"/>
              <w:keepLines w:val="0"/>
              <w:pageBreakBefore w:val="0"/>
              <w:widowControl w:val="0"/>
              <w:shd w:val="clear" w:color="auto" w:fill="auto"/>
              <w:kinsoku/>
              <w:wordWrap/>
              <w:overflowPunct/>
              <w:topLinePunct w:val="0"/>
              <w:bidi w:val="0"/>
              <w:snapToGrid w:val="0"/>
              <w:spacing w:line="360" w:lineRule="auto"/>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sz w:val="21"/>
                <w:szCs w:val="21"/>
                <w:highlight w:val="none"/>
              </w:rPr>
              <w:t>解释权</w:t>
            </w:r>
          </w:p>
        </w:tc>
        <w:tc>
          <w:tcPr>
            <w:tcW w:w="3689" w:type="pct"/>
            <w:tcBorders>
              <w:top w:val="single" w:color="000000" w:sz="2" w:space="0"/>
              <w:left w:val="single" w:color="000000" w:sz="2" w:space="0"/>
              <w:bottom w:val="single" w:color="000000" w:sz="2" w:space="0"/>
              <w:right w:val="single" w:color="000000" w:sz="2" w:space="0"/>
            </w:tcBorders>
            <w:noWrap w:val="0"/>
            <w:vAlign w:val="center"/>
          </w:tcPr>
          <w:p w14:paraId="72C23312">
            <w:pPr>
              <w:keepNext w:val="0"/>
              <w:keepLines w:val="0"/>
              <w:pageBreakBefore w:val="0"/>
              <w:widowControl w:val="0"/>
              <w:shd w:val="clear" w:color="auto" w:fill="auto"/>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sz w:val="21"/>
                <w:szCs w:val="21"/>
                <w:highlight w:val="none"/>
              </w:rPr>
              <w:t>构成本采购文件的各个组成文件应互为解释，互为说明；如有不明确或不一致，构成合同文件组成内容的，以合同文件约定内容为准，且以专用合同条款约定的合同文件优先顺序解释；仅适用于采购投标阶段的约定，按采购公告、投标人须知、评审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bl>
    <w:p w14:paraId="233E7DF9">
      <w:pPr>
        <w:pStyle w:val="3"/>
        <w:shd w:val="clear" w:color="auto" w:fill="auto"/>
        <w:spacing w:line="360" w:lineRule="auto"/>
        <w:rPr>
          <w:rFonts w:hint="eastAsia" w:ascii="宋体" w:hAnsi="宋体" w:eastAsia="宋体" w:cs="宋体"/>
          <w:color w:val="auto"/>
          <w:sz w:val="36"/>
          <w:szCs w:val="36"/>
          <w:highlight w:val="none"/>
        </w:rPr>
      </w:pPr>
      <w:bookmarkStart w:id="6" w:name="_Toc245191310"/>
      <w:bookmarkStart w:id="7" w:name="_Toc262049414"/>
      <w:bookmarkStart w:id="8" w:name="_Toc245722277"/>
      <w:bookmarkStart w:id="9" w:name="_Toc239145350"/>
      <w:bookmarkStart w:id="10" w:name="_Toc221356947"/>
      <w:bookmarkStart w:id="11" w:name="_Toc249758860"/>
      <w:bookmarkStart w:id="12" w:name="_Toc249758708"/>
      <w:bookmarkStart w:id="13" w:name="_Toc246261261"/>
      <w:bookmarkStart w:id="14" w:name="_Toc222114875"/>
      <w:bookmarkStart w:id="15" w:name="_Toc223715994"/>
      <w:bookmarkStart w:id="16" w:name="_Toc221374622"/>
      <w:bookmarkStart w:id="17" w:name="_Toc241404198"/>
      <w:bookmarkStart w:id="18" w:name="_Toc221423615"/>
      <w:bookmarkStart w:id="19" w:name="_Toc221356882"/>
      <w:bookmarkStart w:id="20" w:name="_Toc262105499"/>
      <w:r>
        <w:rPr>
          <w:rFonts w:hint="eastAsia" w:ascii="宋体" w:hAnsi="宋体" w:eastAsia="宋体" w:cs="宋体"/>
          <w:color w:val="auto"/>
          <w:sz w:val="36"/>
          <w:szCs w:val="36"/>
          <w:highlight w:val="none"/>
        </w:rPr>
        <w:br w:type="page"/>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7D2268FB">
      <w:pPr>
        <w:keepNext w:val="0"/>
        <w:keepLines w:val="0"/>
        <w:pageBreakBefore w:val="0"/>
        <w:widowControl w:val="0"/>
        <w:shd w:val="clear" w:color="auto" w:fill="auto"/>
        <w:kinsoku/>
        <w:wordWrap/>
        <w:topLinePunct w:val="0"/>
        <w:bidi w:val="0"/>
        <w:snapToGrid/>
        <w:spacing w:before="200" w:after="200" w:line="360" w:lineRule="auto"/>
        <w:jc w:val="center"/>
        <w:textAlignment w:val="auto"/>
        <w:outlineLvl w:val="0"/>
        <w:rPr>
          <w:rFonts w:hint="eastAsia" w:asciiTheme="minorEastAsia" w:hAnsiTheme="minorEastAsia" w:eastAsiaTheme="minorEastAsia" w:cstheme="minorEastAsia"/>
          <w:b/>
          <w:bCs/>
          <w:color w:val="auto"/>
          <w:sz w:val="21"/>
          <w:szCs w:val="21"/>
          <w:highlight w:val="none"/>
        </w:rPr>
      </w:pPr>
      <w:bookmarkStart w:id="21" w:name="_Toc223715995"/>
      <w:bookmarkStart w:id="22" w:name="_Toc249758709"/>
      <w:bookmarkStart w:id="23" w:name="_Toc262105500"/>
      <w:bookmarkStart w:id="24" w:name="_Toc222114876"/>
      <w:bookmarkStart w:id="25" w:name="_Toc221356883"/>
      <w:bookmarkStart w:id="26" w:name="_Toc262049415"/>
      <w:bookmarkStart w:id="27" w:name="_Toc239145351"/>
      <w:bookmarkStart w:id="28" w:name="_Toc245191311"/>
      <w:bookmarkStart w:id="29" w:name="_Toc241404199"/>
      <w:bookmarkStart w:id="30" w:name="_Toc246261262"/>
      <w:bookmarkStart w:id="31" w:name="_Toc221423616"/>
      <w:bookmarkStart w:id="32" w:name="_Toc249758861"/>
      <w:bookmarkStart w:id="33" w:name="_Toc245722278"/>
      <w:bookmarkStart w:id="34" w:name="_Toc3525"/>
      <w:bookmarkStart w:id="35" w:name="_Toc221374623"/>
      <w:bookmarkStart w:id="36" w:name="_Toc221356948"/>
      <w:r>
        <w:rPr>
          <w:rFonts w:hint="eastAsia" w:asciiTheme="minorEastAsia" w:hAnsiTheme="minorEastAsia" w:eastAsiaTheme="minorEastAsia" w:cstheme="minorEastAsia"/>
          <w:b/>
          <w:bCs/>
          <w:color w:val="auto"/>
          <w:sz w:val="21"/>
          <w:szCs w:val="21"/>
          <w:highlight w:val="none"/>
        </w:rPr>
        <w:t>一、  说明</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68132A9F">
      <w:pPr>
        <w:keepNext w:val="0"/>
        <w:keepLines w:val="0"/>
        <w:pageBreakBefore w:val="0"/>
        <w:widowControl w:val="0"/>
        <w:shd w:val="clear" w:color="auto" w:fill="auto"/>
        <w:tabs>
          <w:tab w:val="left" w:pos="0"/>
        </w:tabs>
        <w:kinsoku/>
        <w:wordWrap/>
        <w:topLinePunct w:val="0"/>
        <w:bidi w:val="0"/>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1.本次采购是按照《</w:t>
      </w:r>
      <w:r>
        <w:rPr>
          <w:rFonts w:hint="eastAsia" w:asciiTheme="minorEastAsia" w:hAnsiTheme="minorEastAsia" w:eastAsiaTheme="minorEastAsia" w:cstheme="minorEastAsia"/>
          <w:color w:val="auto"/>
          <w:sz w:val="21"/>
          <w:szCs w:val="21"/>
          <w:highlight w:val="none"/>
          <w:lang w:eastAsia="zh-CN"/>
        </w:rPr>
        <w:t>温州市市属国有企业采购管理办法</w:t>
      </w:r>
      <w:r>
        <w:rPr>
          <w:rFonts w:hint="eastAsia" w:asciiTheme="minorEastAsia" w:hAnsiTheme="minorEastAsia" w:eastAsiaTheme="minorEastAsia" w:cstheme="minorEastAsia"/>
          <w:color w:val="auto"/>
          <w:sz w:val="21"/>
          <w:szCs w:val="21"/>
          <w:highlight w:val="none"/>
        </w:rPr>
        <w:t>》等法律及有关法规组织和实施的国企采购（非政府采购项目）。</w:t>
      </w:r>
    </w:p>
    <w:p w14:paraId="44013B54">
      <w:pPr>
        <w:keepNext w:val="0"/>
        <w:keepLines w:val="0"/>
        <w:pageBreakBefore w:val="0"/>
        <w:widowControl w:val="0"/>
        <w:shd w:val="clear" w:color="auto" w:fill="auto"/>
        <w:tabs>
          <w:tab w:val="left" w:pos="0"/>
        </w:tabs>
        <w:kinsoku/>
        <w:wordWrap/>
        <w:topLinePunct w:val="0"/>
        <w:bidi w:val="0"/>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2.▲</w:t>
      </w:r>
      <w:r>
        <w:rPr>
          <w:rFonts w:hint="eastAsia" w:asciiTheme="minorEastAsia" w:hAnsiTheme="minorEastAsia" w:eastAsiaTheme="minorEastAsia" w:cstheme="minorEastAsia"/>
          <w:b/>
          <w:color w:val="auto"/>
          <w:sz w:val="21"/>
          <w:szCs w:val="21"/>
          <w:highlight w:val="none"/>
          <w:u w:val="single"/>
        </w:rPr>
        <w:t>合格投标人</w:t>
      </w:r>
    </w:p>
    <w:p w14:paraId="3C515639">
      <w:pPr>
        <w:keepNext w:val="0"/>
        <w:keepLines w:val="0"/>
        <w:pageBreakBefore w:val="0"/>
        <w:widowControl w:val="0"/>
        <w:shd w:val="clear" w:color="auto" w:fill="auto"/>
        <w:tabs>
          <w:tab w:val="left" w:pos="540"/>
        </w:tabs>
        <w:kinsoku/>
        <w:wordWrap/>
        <w:topLinePunct w:val="0"/>
        <w:bidi w:val="0"/>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合格投标人要求以本项目采购公告及投标人须知前附表中“</w:t>
      </w:r>
      <w:r>
        <w:rPr>
          <w:rFonts w:hint="eastAsia" w:asciiTheme="minorEastAsia" w:hAnsiTheme="minorEastAsia" w:eastAsiaTheme="minorEastAsia" w:cstheme="minorEastAsia"/>
          <w:b/>
          <w:bCs/>
          <w:color w:val="auto"/>
          <w:kern w:val="0"/>
          <w:sz w:val="21"/>
          <w:szCs w:val="21"/>
          <w:highlight w:val="none"/>
        </w:rPr>
        <w:t>投标人</w:t>
      </w:r>
      <w:r>
        <w:rPr>
          <w:rFonts w:hint="eastAsia" w:asciiTheme="minorEastAsia" w:hAnsiTheme="minorEastAsia" w:eastAsiaTheme="minorEastAsia" w:cstheme="minorEastAsia"/>
          <w:b/>
          <w:bCs/>
          <w:color w:val="auto"/>
          <w:kern w:val="0"/>
          <w:sz w:val="21"/>
          <w:szCs w:val="21"/>
          <w:highlight w:val="none"/>
          <w:lang w:val="zh-CN"/>
        </w:rPr>
        <w:t>资格要求”</w:t>
      </w:r>
      <w:r>
        <w:rPr>
          <w:rFonts w:hint="eastAsia" w:asciiTheme="minorEastAsia" w:hAnsiTheme="minorEastAsia" w:eastAsiaTheme="minorEastAsia" w:cstheme="minorEastAsia"/>
          <w:b/>
          <w:color w:val="auto"/>
          <w:sz w:val="21"/>
          <w:szCs w:val="21"/>
          <w:highlight w:val="none"/>
        </w:rPr>
        <w:t>描述为准。</w:t>
      </w:r>
    </w:p>
    <w:p w14:paraId="4A8375B5">
      <w:pPr>
        <w:keepNext w:val="0"/>
        <w:keepLines w:val="0"/>
        <w:pageBreakBefore w:val="0"/>
        <w:widowControl w:val="0"/>
        <w:shd w:val="clear" w:color="auto" w:fill="auto"/>
        <w:tabs>
          <w:tab w:val="left" w:pos="0"/>
        </w:tabs>
        <w:kinsoku/>
        <w:wordWrap/>
        <w:topLinePunct w:val="0"/>
        <w:bidi w:val="0"/>
        <w:snapToGrid/>
        <w:spacing w:line="360" w:lineRule="auto"/>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3.投标人代表</w:t>
      </w:r>
    </w:p>
    <w:p w14:paraId="52A05676">
      <w:pPr>
        <w:keepNext w:val="0"/>
        <w:keepLines w:val="0"/>
        <w:pageBreakBefore w:val="0"/>
        <w:widowControl w:val="0"/>
        <w:shd w:val="clear" w:color="auto" w:fill="auto"/>
        <w:kinsoku/>
        <w:wordWrap/>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指全权代表投标人参加投标活动并签署投标文件的人。如果投标人代表不是法定代表人，须持有《法定代表人授权书》。</w:t>
      </w:r>
    </w:p>
    <w:p w14:paraId="73FC4E9A">
      <w:pPr>
        <w:keepNext w:val="0"/>
        <w:keepLines w:val="0"/>
        <w:pageBreakBefore w:val="0"/>
        <w:widowControl w:val="0"/>
        <w:shd w:val="clear" w:color="auto" w:fill="auto"/>
        <w:tabs>
          <w:tab w:val="left" w:pos="0"/>
        </w:tabs>
        <w:kinsoku/>
        <w:wordWrap/>
        <w:topLinePunct w:val="0"/>
        <w:bidi w:val="0"/>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4.投标费用</w:t>
      </w:r>
    </w:p>
    <w:p w14:paraId="5120948E">
      <w:pPr>
        <w:keepNext w:val="0"/>
        <w:keepLines w:val="0"/>
        <w:pageBreakBefore w:val="0"/>
        <w:widowControl w:val="0"/>
        <w:shd w:val="clear" w:color="auto" w:fill="auto"/>
        <w:kinsoku/>
        <w:wordWrap/>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投标人应承担所有与准备和参加投标有关费用，不论投标的结果如何，采购人和采购代理机构均无义务和责任承担这些费用。</w:t>
      </w:r>
    </w:p>
    <w:p w14:paraId="6F427BE6">
      <w:pPr>
        <w:keepNext w:val="0"/>
        <w:keepLines w:val="0"/>
        <w:pageBreakBefore w:val="0"/>
        <w:widowControl w:val="0"/>
        <w:shd w:val="clear" w:color="auto" w:fill="auto"/>
        <w:kinsoku/>
        <w:wordWrap/>
        <w:topLinePunct w:val="0"/>
        <w:bidi w:val="0"/>
        <w:snapToGrid/>
        <w:spacing w:before="200" w:after="200" w:line="360" w:lineRule="auto"/>
        <w:jc w:val="center"/>
        <w:textAlignment w:val="auto"/>
        <w:outlineLvl w:val="0"/>
        <w:rPr>
          <w:rFonts w:hint="eastAsia" w:asciiTheme="minorEastAsia" w:hAnsiTheme="minorEastAsia" w:eastAsiaTheme="minorEastAsia" w:cstheme="minorEastAsia"/>
          <w:b/>
          <w:bCs/>
          <w:color w:val="auto"/>
          <w:sz w:val="21"/>
          <w:szCs w:val="21"/>
          <w:highlight w:val="none"/>
        </w:rPr>
      </w:pPr>
      <w:bookmarkStart w:id="37" w:name="_Toc245722279"/>
      <w:bookmarkStart w:id="38" w:name="_Toc249758862"/>
      <w:bookmarkStart w:id="39" w:name="_Toc221356949"/>
      <w:bookmarkStart w:id="40" w:name="_Toc246261263"/>
      <w:bookmarkStart w:id="41" w:name="_Toc223715996"/>
      <w:bookmarkStart w:id="42" w:name="_Toc221423617"/>
      <w:bookmarkStart w:id="43" w:name="_Toc239145352"/>
      <w:bookmarkStart w:id="44" w:name="_Toc221356884"/>
      <w:bookmarkStart w:id="45" w:name="_Toc245191312"/>
      <w:bookmarkStart w:id="46" w:name="_Toc249758710"/>
      <w:bookmarkStart w:id="47" w:name="_Toc221374624"/>
      <w:bookmarkStart w:id="48" w:name="_Toc262105501"/>
      <w:bookmarkStart w:id="49" w:name="_Toc222114877"/>
      <w:bookmarkStart w:id="50" w:name="_Toc20976"/>
      <w:bookmarkStart w:id="51" w:name="_Toc241404200"/>
      <w:bookmarkStart w:id="52" w:name="_Toc262049416"/>
      <w:r>
        <w:rPr>
          <w:rFonts w:hint="eastAsia" w:asciiTheme="minorEastAsia" w:hAnsiTheme="minorEastAsia" w:eastAsiaTheme="minorEastAsia" w:cstheme="minorEastAsia"/>
          <w:b/>
          <w:bCs/>
          <w:color w:val="auto"/>
          <w:sz w:val="21"/>
          <w:szCs w:val="21"/>
          <w:highlight w:val="none"/>
        </w:rPr>
        <w:t>二、 采购文件</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3D6D18DF">
      <w:pPr>
        <w:keepNext w:val="0"/>
        <w:keepLines w:val="0"/>
        <w:pageBreakBefore w:val="0"/>
        <w:widowControl w:val="0"/>
        <w:shd w:val="clear" w:color="auto" w:fill="auto"/>
        <w:tabs>
          <w:tab w:val="left" w:pos="0"/>
        </w:tabs>
        <w:kinsoku/>
        <w:wordWrap/>
        <w:topLinePunct w:val="0"/>
        <w:bidi w:val="0"/>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1.采购文件由采购文件目录所列内容及相关资料组成。</w:t>
      </w:r>
    </w:p>
    <w:p w14:paraId="3C395214">
      <w:pPr>
        <w:keepNext w:val="0"/>
        <w:keepLines w:val="0"/>
        <w:pageBreakBefore w:val="0"/>
        <w:widowControl w:val="0"/>
        <w:shd w:val="clear" w:color="auto" w:fill="auto"/>
        <w:tabs>
          <w:tab w:val="left" w:pos="0"/>
        </w:tabs>
        <w:kinsoku/>
        <w:wordWrap/>
        <w:topLinePunct w:val="0"/>
        <w:bidi w:val="0"/>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2.采购文件的澄清或者修改</w:t>
      </w:r>
    </w:p>
    <w:p w14:paraId="60926DA6">
      <w:pPr>
        <w:keepNext w:val="0"/>
        <w:keepLines w:val="0"/>
        <w:pageBreakBefore w:val="0"/>
        <w:widowControl w:val="0"/>
        <w:shd w:val="clear" w:color="auto" w:fill="auto"/>
        <w:tabs>
          <w:tab w:val="left" w:pos="0"/>
        </w:tabs>
        <w:kinsoku/>
        <w:wordWrap/>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2.1</w:t>
      </w:r>
      <w:r>
        <w:rPr>
          <w:rFonts w:hint="eastAsia" w:asciiTheme="minorEastAsia" w:hAnsiTheme="minorEastAsia" w:eastAsiaTheme="minorEastAsia" w:cstheme="minorEastAsia"/>
          <w:color w:val="auto"/>
          <w:sz w:val="21"/>
          <w:szCs w:val="21"/>
          <w:highlight w:val="none"/>
        </w:rPr>
        <w:t>采购人或者采购代理机构可以对已发出的采购文件进行必要的澄清或者修改。澄清或者修改应当在原公告发布媒体上发布澄清公告。澄清或者修改的内容为采购文件的组成部分。</w:t>
      </w:r>
    </w:p>
    <w:p w14:paraId="4B1C2ED8">
      <w:pPr>
        <w:keepNext w:val="0"/>
        <w:keepLines w:val="0"/>
        <w:pageBreakBefore w:val="0"/>
        <w:widowControl w:val="0"/>
        <w:shd w:val="clear" w:color="auto" w:fill="auto"/>
        <w:tabs>
          <w:tab w:val="left" w:pos="360"/>
        </w:tabs>
        <w:kinsoku/>
        <w:wordWrap/>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2</w:t>
      </w:r>
      <w:r>
        <w:rPr>
          <w:rFonts w:hint="eastAsia" w:asciiTheme="minorEastAsia" w:hAnsiTheme="minorEastAsia" w:eastAsiaTheme="minorEastAsia" w:cstheme="minorEastAsia"/>
          <w:bCs/>
          <w:color w:val="auto"/>
          <w:sz w:val="21"/>
          <w:szCs w:val="21"/>
          <w:highlight w:val="none"/>
        </w:rPr>
        <w:t>.2澄清或者修改的内容可能影响投标文件编制的，采购人或者采购代理机构应当在投标截止时间至少7日前，以书面形式通知所有获取采购文件的潜在投标人；不足7日的，采购人或者采购代理机构应当顺延提交投标文件的截止时间。潜在投标人在收到该书面通知后，应立即书面回复确认已收到该通知</w:t>
      </w:r>
      <w:r>
        <w:rPr>
          <w:rFonts w:hint="eastAsia" w:asciiTheme="minorEastAsia" w:hAnsiTheme="minorEastAsia" w:eastAsiaTheme="minorEastAsia" w:cstheme="minorEastAsia"/>
          <w:color w:val="auto"/>
          <w:sz w:val="21"/>
          <w:szCs w:val="21"/>
          <w:highlight w:val="none"/>
        </w:rPr>
        <w:t>。</w:t>
      </w:r>
    </w:p>
    <w:p w14:paraId="6D1C71D3">
      <w:pPr>
        <w:keepNext w:val="0"/>
        <w:keepLines w:val="0"/>
        <w:pageBreakBefore w:val="0"/>
        <w:widowControl w:val="0"/>
        <w:shd w:val="clear" w:color="auto" w:fill="auto"/>
        <w:kinsoku/>
        <w:wordWrap/>
        <w:topLinePunct w:val="0"/>
        <w:bidi w:val="0"/>
        <w:snapToGrid/>
        <w:spacing w:before="200" w:after="200" w:line="360" w:lineRule="auto"/>
        <w:jc w:val="center"/>
        <w:textAlignment w:val="auto"/>
        <w:outlineLvl w:val="0"/>
        <w:rPr>
          <w:rFonts w:hint="eastAsia" w:asciiTheme="minorEastAsia" w:hAnsiTheme="minorEastAsia" w:eastAsiaTheme="minorEastAsia" w:cstheme="minorEastAsia"/>
          <w:b/>
          <w:bCs/>
          <w:color w:val="auto"/>
          <w:sz w:val="21"/>
          <w:szCs w:val="21"/>
          <w:highlight w:val="none"/>
        </w:rPr>
      </w:pPr>
      <w:bookmarkStart w:id="53" w:name="_Toc221423618"/>
      <w:bookmarkStart w:id="54" w:name="_Toc245191313"/>
      <w:bookmarkStart w:id="55" w:name="_Toc239145353"/>
      <w:bookmarkStart w:id="56" w:name="_Toc221356885"/>
      <w:bookmarkStart w:id="57" w:name="_Toc221356950"/>
      <w:bookmarkStart w:id="58" w:name="_Toc28795"/>
      <w:bookmarkStart w:id="59" w:name="_Toc223715997"/>
      <w:bookmarkStart w:id="60" w:name="_Toc262105502"/>
      <w:bookmarkStart w:id="61" w:name="_Toc249758863"/>
      <w:bookmarkStart w:id="62" w:name="_Toc262049417"/>
      <w:bookmarkStart w:id="63" w:name="_Toc221374625"/>
      <w:bookmarkStart w:id="64" w:name="_Toc245722280"/>
      <w:bookmarkStart w:id="65" w:name="_Toc249758711"/>
      <w:bookmarkStart w:id="66" w:name="_Toc222114878"/>
      <w:bookmarkStart w:id="67" w:name="_Toc246261264"/>
      <w:bookmarkStart w:id="68" w:name="_Toc241404201"/>
      <w:r>
        <w:rPr>
          <w:rFonts w:hint="eastAsia" w:asciiTheme="minorEastAsia" w:hAnsiTheme="minorEastAsia" w:eastAsiaTheme="minorEastAsia" w:cstheme="minorEastAsia"/>
          <w:b/>
          <w:bCs/>
          <w:color w:val="auto"/>
          <w:sz w:val="21"/>
          <w:szCs w:val="21"/>
          <w:highlight w:val="none"/>
        </w:rPr>
        <w:t>三、 投标文件的编制</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65CC7D3A">
      <w:pPr>
        <w:keepNext w:val="0"/>
        <w:keepLines w:val="0"/>
        <w:pageBreakBefore w:val="0"/>
        <w:widowControl w:val="0"/>
        <w:shd w:val="clear" w:color="auto" w:fill="auto"/>
        <w:tabs>
          <w:tab w:val="left" w:pos="0"/>
        </w:tabs>
        <w:kinsoku/>
        <w:wordWrap/>
        <w:topLinePunct w:val="0"/>
        <w:bidi w:val="0"/>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1.投标人应认真阅读采购文件中所有事项格式、条款和技术规范等。</w:t>
      </w:r>
      <w:r>
        <w:rPr>
          <w:rFonts w:hint="eastAsia" w:asciiTheme="minorEastAsia" w:hAnsiTheme="minorEastAsia" w:eastAsiaTheme="minorEastAsia" w:cstheme="minorEastAsia"/>
          <w:b/>
          <w:color w:val="auto"/>
          <w:sz w:val="21"/>
          <w:szCs w:val="21"/>
          <w:highlight w:val="none"/>
        </w:rPr>
        <w:t>投标人没有按照采购文件要求提交全部资料，或者没有对采购文件各个方面做出实质性响应，导致投标被拒绝的风险由投标人自行承担。</w:t>
      </w:r>
    </w:p>
    <w:p w14:paraId="079F60E0">
      <w:pPr>
        <w:keepNext w:val="0"/>
        <w:keepLines w:val="0"/>
        <w:pageBreakBefore w:val="0"/>
        <w:widowControl w:val="0"/>
        <w:shd w:val="clear" w:color="auto" w:fill="auto"/>
        <w:tabs>
          <w:tab w:val="left" w:pos="0"/>
        </w:tabs>
        <w:kinsoku/>
        <w:wordWrap/>
        <w:topLinePunct w:val="0"/>
        <w:bidi w:val="0"/>
        <w:snapToGrid/>
        <w:spacing w:line="360" w:lineRule="auto"/>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2.投标人法律责任</w:t>
      </w:r>
    </w:p>
    <w:p w14:paraId="0FEC98B9">
      <w:pPr>
        <w:keepNext w:val="0"/>
        <w:keepLines w:val="0"/>
        <w:pageBreakBefore w:val="0"/>
        <w:widowControl w:val="0"/>
        <w:shd w:val="clear" w:color="auto" w:fill="auto"/>
        <w:tabs>
          <w:tab w:val="left" w:pos="0"/>
        </w:tabs>
        <w:kinsoku/>
        <w:wordWrap/>
        <w:topLinePunct w:val="0"/>
        <w:bidi w:val="0"/>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color w:val="auto"/>
          <w:sz w:val="21"/>
          <w:szCs w:val="21"/>
          <w:highlight w:val="none"/>
          <w:u w:val="single"/>
        </w:rPr>
        <w:t>投标人应保证所提供文件资料的真实性，所有文件资料必须是针对本次投标的。如发现投标人提供了虚假文件资料，其投标将被拒绝，并自行承担相应的法律责任。</w:t>
      </w:r>
    </w:p>
    <w:p w14:paraId="2A2BD8A3">
      <w:pPr>
        <w:keepNext w:val="0"/>
        <w:keepLines w:val="0"/>
        <w:pageBreakBefore w:val="0"/>
        <w:widowControl w:val="0"/>
        <w:shd w:val="clear" w:color="auto" w:fill="auto"/>
        <w:tabs>
          <w:tab w:val="left" w:pos="0"/>
        </w:tabs>
        <w:kinsoku/>
        <w:wordWrap/>
        <w:topLinePunct w:val="0"/>
        <w:bidi w:val="0"/>
        <w:snapToGrid/>
        <w:spacing w:line="360" w:lineRule="auto"/>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3.投标文件的构成：</w:t>
      </w:r>
    </w:p>
    <w:p w14:paraId="5C92F709">
      <w:pPr>
        <w:keepNext w:val="0"/>
        <w:keepLines w:val="0"/>
        <w:pageBreakBefore w:val="0"/>
        <w:widowControl w:val="0"/>
        <w:shd w:val="clear" w:color="auto" w:fill="auto"/>
        <w:tabs>
          <w:tab w:val="left" w:pos="0"/>
        </w:tabs>
        <w:kinsoku/>
        <w:wordWrap/>
        <w:topLinePunct w:val="0"/>
        <w:bidi w:val="0"/>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3.1投标文件由资格文件、商务技术文件、报价文件三部分构成：</w:t>
      </w:r>
    </w:p>
    <w:p w14:paraId="32849156">
      <w:pPr>
        <w:keepNext w:val="0"/>
        <w:keepLines w:val="0"/>
        <w:pageBreakBefore w:val="0"/>
        <w:widowControl w:val="0"/>
        <w:shd w:val="clear" w:color="auto" w:fill="auto"/>
        <w:kinsoku/>
        <w:wordWrap/>
        <w:topLinePunct w:val="0"/>
        <w:bidi w:val="0"/>
        <w:snapToGrid/>
        <w:spacing w:line="360" w:lineRule="auto"/>
        <w:ind w:left="9" w:hanging="8" w:hangingChars="4"/>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color w:val="auto"/>
          <w:sz w:val="21"/>
          <w:szCs w:val="21"/>
          <w:highlight w:val="none"/>
          <w:u w:val="single"/>
        </w:rPr>
        <w:t>（1）资格文件</w:t>
      </w:r>
    </w:p>
    <w:tbl>
      <w:tblPr>
        <w:tblStyle w:val="33"/>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7848"/>
        <w:gridCol w:w="1241"/>
      </w:tblGrid>
      <w:tr w14:paraId="1156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765" w:type="dxa"/>
            <w:noWrap w:val="0"/>
            <w:vAlign w:val="center"/>
          </w:tcPr>
          <w:p w14:paraId="4A686C21">
            <w:pPr>
              <w:keepNext w:val="0"/>
              <w:keepLines w:val="0"/>
              <w:pageBreakBefore w:val="0"/>
              <w:widowControl w:val="0"/>
              <w:shd w:val="clear" w:color="auto" w:fill="auto"/>
              <w:kinsoku/>
              <w:wordWrap/>
              <w:overflowPunct w:val="0"/>
              <w:topLinePunct w:val="0"/>
              <w:bidi w:val="0"/>
              <w:snapToGrid/>
              <w:spacing w:line="360" w:lineRule="auto"/>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7848" w:type="dxa"/>
            <w:noWrap w:val="0"/>
            <w:vAlign w:val="center"/>
          </w:tcPr>
          <w:p w14:paraId="14963ADF">
            <w:pPr>
              <w:keepNext w:val="0"/>
              <w:keepLines w:val="0"/>
              <w:pageBreakBefore w:val="0"/>
              <w:widowControl w:val="0"/>
              <w:shd w:val="clear" w:color="auto" w:fill="auto"/>
              <w:kinsoku/>
              <w:wordWrap/>
              <w:overflowPunct w:val="0"/>
              <w:topLinePunct w:val="0"/>
              <w:bidi w:val="0"/>
              <w:snapToGrid/>
              <w:spacing w:line="360" w:lineRule="auto"/>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内 容</w:t>
            </w:r>
          </w:p>
        </w:tc>
        <w:tc>
          <w:tcPr>
            <w:tcW w:w="1241" w:type="dxa"/>
            <w:noWrap w:val="0"/>
            <w:vAlign w:val="center"/>
          </w:tcPr>
          <w:p w14:paraId="3F7F9B6C">
            <w:pPr>
              <w:keepNext w:val="0"/>
              <w:keepLines w:val="0"/>
              <w:pageBreakBefore w:val="0"/>
              <w:widowControl w:val="0"/>
              <w:shd w:val="clear" w:color="auto" w:fill="auto"/>
              <w:kinsoku/>
              <w:wordWrap/>
              <w:overflowPunct w:val="0"/>
              <w:topLinePunct w:val="0"/>
              <w:bidi w:val="0"/>
              <w:snapToGrid/>
              <w:spacing w:line="360" w:lineRule="auto"/>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备注</w:t>
            </w:r>
          </w:p>
        </w:tc>
      </w:tr>
      <w:tr w14:paraId="4C65B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65" w:type="dxa"/>
            <w:noWrap w:val="0"/>
            <w:vAlign w:val="center"/>
          </w:tcPr>
          <w:p w14:paraId="64ECCFBF">
            <w:pPr>
              <w:keepNext w:val="0"/>
              <w:keepLines w:val="0"/>
              <w:pageBreakBefore w:val="0"/>
              <w:widowControl w:val="0"/>
              <w:shd w:val="clear" w:color="auto" w:fill="auto"/>
              <w:kinsoku/>
              <w:wordWrap/>
              <w:overflowPunct w:val="0"/>
              <w:topLinePunct w:val="0"/>
              <w:bidi w:val="0"/>
              <w:snapToGrid/>
              <w:spacing w:line="360" w:lineRule="auto"/>
              <w:jc w:val="center"/>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w:t>
            </w:r>
          </w:p>
        </w:tc>
        <w:tc>
          <w:tcPr>
            <w:tcW w:w="7848" w:type="dxa"/>
            <w:noWrap w:val="0"/>
            <w:vAlign w:val="center"/>
          </w:tcPr>
          <w:p w14:paraId="55A6A56A">
            <w:pPr>
              <w:keepNext w:val="0"/>
              <w:keepLines w:val="0"/>
              <w:pageBreakBefore w:val="0"/>
              <w:widowControl w:val="0"/>
              <w:shd w:val="clear" w:color="auto" w:fill="auto"/>
              <w:kinsoku/>
              <w:wordWrap/>
              <w:topLinePunct w:val="0"/>
              <w:bidi w:val="0"/>
              <w:snapToGrid/>
              <w:spacing w:line="360" w:lineRule="auto"/>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法定代表人声明书或法定代表人授权书</w:t>
            </w:r>
          </w:p>
        </w:tc>
        <w:tc>
          <w:tcPr>
            <w:tcW w:w="1241" w:type="dxa"/>
            <w:vMerge w:val="restart"/>
            <w:noWrap w:val="0"/>
            <w:vAlign w:val="center"/>
          </w:tcPr>
          <w:p w14:paraId="473F2DCD">
            <w:pPr>
              <w:keepNext w:val="0"/>
              <w:keepLines w:val="0"/>
              <w:pageBreakBefore w:val="0"/>
              <w:widowControl w:val="0"/>
              <w:shd w:val="clear" w:color="auto" w:fill="auto"/>
              <w:kinsoku/>
              <w:wordWrap/>
              <w:topLinePunct w:val="0"/>
              <w:bidi w:val="0"/>
              <w:snapToGrid/>
              <w:spacing w:line="360" w:lineRule="auto"/>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Cs/>
                <w:color w:val="auto"/>
                <w:sz w:val="21"/>
                <w:szCs w:val="21"/>
                <w:highlight w:val="none"/>
              </w:rPr>
              <w:t>附件一</w:t>
            </w:r>
          </w:p>
        </w:tc>
      </w:tr>
      <w:tr w14:paraId="062EE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65" w:type="dxa"/>
            <w:noWrap w:val="0"/>
            <w:vAlign w:val="center"/>
          </w:tcPr>
          <w:p w14:paraId="6872D7C0">
            <w:pPr>
              <w:keepNext w:val="0"/>
              <w:keepLines w:val="0"/>
              <w:pageBreakBefore w:val="0"/>
              <w:widowControl w:val="0"/>
              <w:shd w:val="clear" w:color="auto" w:fill="auto"/>
              <w:kinsoku/>
              <w:wordWrap/>
              <w:overflowPunct w:val="0"/>
              <w:topLinePunct w:val="0"/>
              <w:bidi w:val="0"/>
              <w:snapToGrid/>
              <w:spacing w:line="360" w:lineRule="auto"/>
              <w:jc w:val="center"/>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w:t>
            </w:r>
          </w:p>
        </w:tc>
        <w:tc>
          <w:tcPr>
            <w:tcW w:w="7848" w:type="dxa"/>
            <w:noWrap w:val="0"/>
            <w:vAlign w:val="center"/>
          </w:tcPr>
          <w:p w14:paraId="1422B15E">
            <w:pPr>
              <w:keepNext w:val="0"/>
              <w:keepLines w:val="0"/>
              <w:pageBreakBefore w:val="0"/>
              <w:widowControl w:val="0"/>
              <w:shd w:val="clear" w:color="auto" w:fill="auto"/>
              <w:kinsoku/>
              <w:wordWrap/>
              <w:topLinePunct w:val="0"/>
              <w:bidi w:val="0"/>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营业执照(或事业法人登记证书或其它工商等登记证明材料)</w:t>
            </w:r>
          </w:p>
        </w:tc>
        <w:tc>
          <w:tcPr>
            <w:tcW w:w="1241" w:type="dxa"/>
            <w:vMerge w:val="continue"/>
            <w:noWrap w:val="0"/>
            <w:vAlign w:val="center"/>
          </w:tcPr>
          <w:p w14:paraId="5CA019A3">
            <w:pPr>
              <w:keepNext w:val="0"/>
              <w:keepLines w:val="0"/>
              <w:pageBreakBefore w:val="0"/>
              <w:widowControl w:val="0"/>
              <w:shd w:val="clear" w:color="auto" w:fill="auto"/>
              <w:kinsoku/>
              <w:wordWrap/>
              <w:topLinePunct w:val="0"/>
              <w:bidi w:val="0"/>
              <w:snapToGrid/>
              <w:spacing w:line="360" w:lineRule="auto"/>
              <w:jc w:val="center"/>
              <w:textAlignment w:val="auto"/>
              <w:rPr>
                <w:rFonts w:hint="eastAsia" w:asciiTheme="minorEastAsia" w:hAnsiTheme="minorEastAsia" w:eastAsiaTheme="minorEastAsia" w:cstheme="minorEastAsia"/>
                <w:bCs/>
                <w:color w:val="auto"/>
                <w:sz w:val="21"/>
                <w:szCs w:val="21"/>
                <w:highlight w:val="none"/>
              </w:rPr>
            </w:pPr>
          </w:p>
        </w:tc>
      </w:tr>
      <w:tr w14:paraId="489F4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65" w:type="dxa"/>
            <w:noWrap w:val="0"/>
            <w:vAlign w:val="center"/>
          </w:tcPr>
          <w:p w14:paraId="583B4A7C">
            <w:pPr>
              <w:keepNext w:val="0"/>
              <w:keepLines w:val="0"/>
              <w:pageBreakBefore w:val="0"/>
              <w:widowControl w:val="0"/>
              <w:shd w:val="clear" w:color="auto" w:fill="auto"/>
              <w:kinsoku/>
              <w:wordWrap/>
              <w:overflowPunct w:val="0"/>
              <w:topLinePunct w:val="0"/>
              <w:bidi w:val="0"/>
              <w:snapToGrid/>
              <w:spacing w:line="360" w:lineRule="auto"/>
              <w:jc w:val="center"/>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w:t>
            </w:r>
          </w:p>
        </w:tc>
        <w:tc>
          <w:tcPr>
            <w:tcW w:w="7848" w:type="dxa"/>
            <w:noWrap w:val="0"/>
            <w:vAlign w:val="center"/>
          </w:tcPr>
          <w:p w14:paraId="37F79D3B">
            <w:pPr>
              <w:keepNext w:val="0"/>
              <w:keepLines w:val="0"/>
              <w:pageBreakBefore w:val="0"/>
              <w:widowControl w:val="0"/>
              <w:shd w:val="clear" w:color="auto" w:fill="auto"/>
              <w:kinsoku/>
              <w:wordWrap/>
              <w:topLinePunct w:val="0"/>
              <w:bidi w:val="0"/>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投标供应商参与国企采购活动投标资格声明函</w:t>
            </w:r>
          </w:p>
        </w:tc>
        <w:tc>
          <w:tcPr>
            <w:tcW w:w="1241" w:type="dxa"/>
            <w:vMerge w:val="continue"/>
            <w:noWrap w:val="0"/>
            <w:vAlign w:val="center"/>
          </w:tcPr>
          <w:p w14:paraId="794E7C3C">
            <w:pPr>
              <w:keepNext w:val="0"/>
              <w:keepLines w:val="0"/>
              <w:pageBreakBefore w:val="0"/>
              <w:widowControl w:val="0"/>
              <w:shd w:val="clear" w:color="auto" w:fill="auto"/>
              <w:kinsoku/>
              <w:wordWrap/>
              <w:topLinePunct w:val="0"/>
              <w:bidi w:val="0"/>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r>
    </w:tbl>
    <w:p w14:paraId="7FEF4953">
      <w:pPr>
        <w:keepNext w:val="0"/>
        <w:keepLines w:val="0"/>
        <w:pageBreakBefore w:val="0"/>
        <w:widowControl w:val="0"/>
        <w:shd w:val="clear" w:color="auto" w:fill="auto"/>
        <w:kinsoku/>
        <w:wordWrap/>
        <w:topLinePunct w:val="0"/>
        <w:bidi w:val="0"/>
        <w:snapToGrid/>
        <w:spacing w:line="360" w:lineRule="auto"/>
        <w:ind w:left="9" w:hanging="8" w:hangingChars="4"/>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（2）商务技术文件</w:t>
      </w:r>
    </w:p>
    <w:tbl>
      <w:tblPr>
        <w:tblStyle w:val="33"/>
        <w:tblW w:w="9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872"/>
        <w:gridCol w:w="1245"/>
      </w:tblGrid>
      <w:tr w14:paraId="3A78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4DDC88B1">
            <w:pPr>
              <w:keepNext w:val="0"/>
              <w:keepLines w:val="0"/>
              <w:pageBreakBefore w:val="0"/>
              <w:widowControl w:val="0"/>
              <w:shd w:val="clear" w:color="auto" w:fill="auto"/>
              <w:kinsoku/>
              <w:wordWrap/>
              <w:topLinePunct w:val="0"/>
              <w:bidi w:val="0"/>
              <w:snapToGrid/>
              <w:spacing w:line="360" w:lineRule="auto"/>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0E4A57A2">
            <w:pPr>
              <w:keepNext w:val="0"/>
              <w:keepLines w:val="0"/>
              <w:pageBreakBefore w:val="0"/>
              <w:widowControl w:val="0"/>
              <w:shd w:val="clear" w:color="auto" w:fill="auto"/>
              <w:kinsoku/>
              <w:wordWrap/>
              <w:topLinePunct w:val="0"/>
              <w:bidi w:val="0"/>
              <w:snapToGrid/>
              <w:spacing w:line="360" w:lineRule="auto"/>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内容</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00DF1061">
            <w:pPr>
              <w:keepNext w:val="0"/>
              <w:keepLines w:val="0"/>
              <w:pageBreakBefore w:val="0"/>
              <w:widowControl w:val="0"/>
              <w:shd w:val="clear" w:color="auto" w:fill="auto"/>
              <w:kinsoku/>
              <w:wordWrap/>
              <w:topLinePunct w:val="0"/>
              <w:bidi w:val="0"/>
              <w:snapToGrid/>
              <w:spacing w:line="360" w:lineRule="auto"/>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备 注</w:t>
            </w:r>
          </w:p>
        </w:tc>
      </w:tr>
      <w:tr w14:paraId="127E8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304758A2">
            <w:pPr>
              <w:keepNext w:val="0"/>
              <w:keepLines w:val="0"/>
              <w:pageBreakBefore w:val="0"/>
              <w:widowControl w:val="0"/>
              <w:shd w:val="clear" w:color="auto" w:fill="auto"/>
              <w:kinsoku/>
              <w:wordWrap/>
              <w:topLinePunct w:val="0"/>
              <w:bidi w:val="0"/>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20ACDF95">
            <w:pPr>
              <w:keepNext w:val="0"/>
              <w:keepLines w:val="0"/>
              <w:pageBreakBefore w:val="0"/>
              <w:widowControl w:val="0"/>
              <w:shd w:val="clear" w:color="auto" w:fill="auto"/>
              <w:kinsoku/>
              <w:wordWrap/>
              <w:topLinePunct w:val="0"/>
              <w:bidi w:val="0"/>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投标函</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24DB9AFD">
            <w:pPr>
              <w:keepNext w:val="0"/>
              <w:keepLines w:val="0"/>
              <w:pageBreakBefore w:val="0"/>
              <w:widowControl w:val="0"/>
              <w:shd w:val="clear" w:color="auto" w:fill="auto"/>
              <w:kinsoku/>
              <w:wordWrap/>
              <w:topLinePunct w:val="0"/>
              <w:bidi w:val="0"/>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附件二</w:t>
            </w:r>
          </w:p>
        </w:tc>
      </w:tr>
      <w:tr w14:paraId="31403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6173BE4F">
            <w:pPr>
              <w:keepNext w:val="0"/>
              <w:keepLines w:val="0"/>
              <w:pageBreakBefore w:val="0"/>
              <w:widowControl w:val="0"/>
              <w:shd w:val="clear" w:color="auto" w:fill="auto"/>
              <w:kinsoku/>
              <w:wordWrap/>
              <w:topLinePunct w:val="0"/>
              <w:bidi w:val="0"/>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1464BA32">
            <w:pPr>
              <w:keepNext w:val="0"/>
              <w:keepLines w:val="0"/>
              <w:pageBreakBefore w:val="0"/>
              <w:widowControl w:val="0"/>
              <w:shd w:val="clear" w:color="auto" w:fill="auto"/>
              <w:kinsoku/>
              <w:wordWrap/>
              <w:topLinePunct w:val="0"/>
              <w:bidi w:val="0"/>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技术规格、商务条款偏离表</w:t>
            </w:r>
          </w:p>
        </w:tc>
        <w:tc>
          <w:tcPr>
            <w:tcW w:w="1245" w:type="dxa"/>
            <w:tcBorders>
              <w:top w:val="single" w:color="auto" w:sz="4" w:space="0"/>
              <w:left w:val="single" w:color="auto" w:sz="4" w:space="0"/>
              <w:right w:val="single" w:color="auto" w:sz="4" w:space="0"/>
            </w:tcBorders>
            <w:noWrap w:val="0"/>
            <w:vAlign w:val="center"/>
          </w:tcPr>
          <w:p w14:paraId="55E29895">
            <w:pPr>
              <w:keepNext w:val="0"/>
              <w:keepLines w:val="0"/>
              <w:pageBreakBefore w:val="0"/>
              <w:widowControl w:val="0"/>
              <w:shd w:val="clear" w:color="auto" w:fill="auto"/>
              <w:kinsoku/>
              <w:wordWrap/>
              <w:topLinePunct w:val="0"/>
              <w:bidi w:val="0"/>
              <w:snapToGrid/>
              <w:spacing w:line="360" w:lineRule="auto"/>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附件</w:t>
            </w:r>
            <w:r>
              <w:rPr>
                <w:rFonts w:hint="eastAsia" w:asciiTheme="minorEastAsia" w:hAnsiTheme="minorEastAsia" w:eastAsiaTheme="minorEastAsia" w:cstheme="minorEastAsia"/>
                <w:color w:val="auto"/>
                <w:sz w:val="21"/>
                <w:szCs w:val="21"/>
                <w:highlight w:val="none"/>
                <w:lang w:val="en-US" w:eastAsia="zh-CN"/>
              </w:rPr>
              <w:t>五</w:t>
            </w:r>
          </w:p>
        </w:tc>
      </w:tr>
      <w:tr w14:paraId="5F455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736DD884">
            <w:pPr>
              <w:keepNext w:val="0"/>
              <w:keepLines w:val="0"/>
              <w:pageBreakBefore w:val="0"/>
              <w:widowControl w:val="0"/>
              <w:shd w:val="clear" w:color="auto" w:fill="auto"/>
              <w:kinsoku/>
              <w:wordWrap/>
              <w:topLinePunct w:val="0"/>
              <w:bidi w:val="0"/>
              <w:snapToGrid/>
              <w:spacing w:line="360"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0E5A0595">
            <w:pPr>
              <w:keepNext w:val="0"/>
              <w:keepLines w:val="0"/>
              <w:pageBreakBefore w:val="0"/>
              <w:widowControl w:val="0"/>
              <w:shd w:val="clear" w:color="auto" w:fill="auto"/>
              <w:kinsoku/>
              <w:wordWrap/>
              <w:topLinePunct w:val="0"/>
              <w:bidi w:val="0"/>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u w:val="single"/>
              </w:rPr>
              <w:t>针对本次项目采购需求提出的详细实施方案（包括但不限于商务技术分评分细则要求的各个方案）</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1724AB5F">
            <w:pPr>
              <w:keepNext w:val="0"/>
              <w:keepLines w:val="0"/>
              <w:pageBreakBefore w:val="0"/>
              <w:widowControl w:val="0"/>
              <w:shd w:val="clear" w:color="auto" w:fill="auto"/>
              <w:kinsoku/>
              <w:wordWrap/>
              <w:topLinePunct w:val="0"/>
              <w:bidi w:val="0"/>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r>
      <w:tr w14:paraId="627C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04C39376">
            <w:pPr>
              <w:keepNext w:val="0"/>
              <w:keepLines w:val="0"/>
              <w:pageBreakBefore w:val="0"/>
              <w:widowControl w:val="0"/>
              <w:shd w:val="clear" w:color="auto" w:fill="auto"/>
              <w:kinsoku/>
              <w:wordWrap/>
              <w:topLinePunct w:val="0"/>
              <w:bidi w:val="0"/>
              <w:snapToGrid/>
              <w:spacing w:line="360"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5</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2F465A75">
            <w:pPr>
              <w:keepNext w:val="0"/>
              <w:keepLines w:val="0"/>
              <w:pageBreakBefore w:val="0"/>
              <w:widowControl w:val="0"/>
              <w:shd w:val="clear" w:color="auto" w:fill="auto"/>
              <w:kinsoku/>
              <w:wordWrap/>
              <w:topLinePunct w:val="0"/>
              <w:bidi w:val="0"/>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结合采购文件评分细则投标人认为需要提供的其他技术资料</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D76C4F4">
            <w:pPr>
              <w:keepNext w:val="0"/>
              <w:keepLines w:val="0"/>
              <w:pageBreakBefore w:val="0"/>
              <w:widowControl w:val="0"/>
              <w:shd w:val="clear" w:color="auto" w:fill="auto"/>
              <w:kinsoku/>
              <w:wordWrap/>
              <w:topLinePunct w:val="0"/>
              <w:bidi w:val="0"/>
              <w:snapToGrid/>
              <w:spacing w:line="360" w:lineRule="auto"/>
              <w:textAlignment w:val="auto"/>
              <w:rPr>
                <w:rFonts w:hint="eastAsia" w:asciiTheme="minorEastAsia" w:hAnsiTheme="minorEastAsia" w:eastAsiaTheme="minorEastAsia" w:cstheme="minorEastAsia"/>
                <w:color w:val="auto"/>
                <w:sz w:val="21"/>
                <w:szCs w:val="21"/>
                <w:highlight w:val="none"/>
              </w:rPr>
            </w:pPr>
          </w:p>
        </w:tc>
      </w:tr>
    </w:tbl>
    <w:p w14:paraId="4CAF01AC">
      <w:pPr>
        <w:keepNext w:val="0"/>
        <w:keepLines w:val="0"/>
        <w:pageBreakBefore w:val="0"/>
        <w:widowControl w:val="0"/>
        <w:shd w:val="clear" w:color="auto" w:fill="auto"/>
        <w:kinsoku/>
        <w:wordWrap/>
        <w:topLinePunct w:val="0"/>
        <w:bidi w:val="0"/>
        <w:snapToGrid/>
        <w:spacing w:line="360" w:lineRule="auto"/>
        <w:ind w:left="9" w:hanging="8" w:hangingChars="4"/>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
          <w:color w:val="auto"/>
          <w:sz w:val="21"/>
          <w:szCs w:val="21"/>
          <w:highlight w:val="none"/>
        </w:rPr>
        <w:t>说明：</w:t>
      </w:r>
    </w:p>
    <w:p w14:paraId="07AFCE79">
      <w:pPr>
        <w:keepNext w:val="0"/>
        <w:keepLines w:val="0"/>
        <w:pageBreakBefore w:val="0"/>
        <w:widowControl w:val="0"/>
        <w:numPr>
          <w:ilvl w:val="0"/>
          <w:numId w:val="2"/>
        </w:numPr>
        <w:shd w:val="clear" w:color="auto" w:fill="auto"/>
        <w:tabs>
          <w:tab w:val="left" w:pos="0"/>
          <w:tab w:val="clear" w:pos="780"/>
        </w:tabs>
        <w:kinsoku/>
        <w:wordWrap/>
        <w:topLinePunct w:val="0"/>
        <w:bidi w:val="0"/>
        <w:snapToGrid/>
        <w:spacing w:line="360" w:lineRule="auto"/>
        <w:ind w:left="0" w:firstLine="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投标人可根据采购文件中的技术规格书以及商务技术评分表，提供投标人认为需要提供的文件和资料。</w:t>
      </w:r>
    </w:p>
    <w:p w14:paraId="34B6B95F">
      <w:pPr>
        <w:keepNext w:val="0"/>
        <w:keepLines w:val="0"/>
        <w:pageBreakBefore w:val="0"/>
        <w:widowControl w:val="0"/>
        <w:numPr>
          <w:ilvl w:val="0"/>
          <w:numId w:val="2"/>
        </w:numPr>
        <w:shd w:val="clear" w:color="auto" w:fill="auto"/>
        <w:tabs>
          <w:tab w:val="left" w:pos="0"/>
          <w:tab w:val="clear" w:pos="780"/>
        </w:tabs>
        <w:kinsoku/>
        <w:wordWrap/>
        <w:topLinePunct w:val="0"/>
        <w:bidi w:val="0"/>
        <w:snapToGrid/>
        <w:spacing w:line="360" w:lineRule="auto"/>
        <w:ind w:left="0" w:firstLine="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投标人可在投标文件中对采购文件中的技术要求选用替代标准、补充或更改，但这些替代标准及补充更改必须相当于或优于采购文件中提出的相应技术要求，并使采购人满意。同时在技术偏离表中作出详细说明。</w:t>
      </w:r>
    </w:p>
    <w:p w14:paraId="76BF9EBA">
      <w:pPr>
        <w:keepNext w:val="0"/>
        <w:keepLines w:val="0"/>
        <w:pageBreakBefore w:val="0"/>
        <w:widowControl w:val="0"/>
        <w:shd w:val="clear" w:color="auto" w:fill="auto"/>
        <w:kinsoku/>
        <w:wordWrap/>
        <w:topLinePunct w:val="0"/>
        <w:bidi w:val="0"/>
        <w:snapToGrid/>
        <w:spacing w:line="360" w:lineRule="auto"/>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（3） 报价文件</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7661"/>
        <w:gridCol w:w="1239"/>
      </w:tblGrid>
      <w:tr w14:paraId="0342B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center"/>
          </w:tcPr>
          <w:p w14:paraId="6F2859E7">
            <w:pPr>
              <w:keepNext w:val="0"/>
              <w:keepLines w:val="0"/>
              <w:pageBreakBefore w:val="0"/>
              <w:widowControl w:val="0"/>
              <w:shd w:val="clear" w:color="auto" w:fill="auto"/>
              <w:kinsoku/>
              <w:wordWrap/>
              <w:topLinePunct w:val="0"/>
              <w:bidi w:val="0"/>
              <w:snapToGrid/>
              <w:spacing w:line="360" w:lineRule="auto"/>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序号</w:t>
            </w:r>
          </w:p>
        </w:tc>
        <w:tc>
          <w:tcPr>
            <w:tcW w:w="3884" w:type="pct"/>
            <w:noWrap w:val="0"/>
            <w:vAlign w:val="center"/>
          </w:tcPr>
          <w:p w14:paraId="0C8BB6F4">
            <w:pPr>
              <w:keepNext w:val="0"/>
              <w:keepLines w:val="0"/>
              <w:pageBreakBefore w:val="0"/>
              <w:widowControl w:val="0"/>
              <w:shd w:val="clear" w:color="auto" w:fill="auto"/>
              <w:kinsoku/>
              <w:wordWrap/>
              <w:topLinePunct w:val="0"/>
              <w:bidi w:val="0"/>
              <w:snapToGrid/>
              <w:spacing w:line="360" w:lineRule="auto"/>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内容</w:t>
            </w:r>
          </w:p>
        </w:tc>
        <w:tc>
          <w:tcPr>
            <w:tcW w:w="628" w:type="pct"/>
            <w:noWrap w:val="0"/>
            <w:vAlign w:val="center"/>
          </w:tcPr>
          <w:p w14:paraId="53CD70F5">
            <w:pPr>
              <w:keepNext w:val="0"/>
              <w:keepLines w:val="0"/>
              <w:pageBreakBefore w:val="0"/>
              <w:widowControl w:val="0"/>
              <w:shd w:val="clear" w:color="auto" w:fill="auto"/>
              <w:kinsoku/>
              <w:wordWrap/>
              <w:topLinePunct w:val="0"/>
              <w:bidi w:val="0"/>
              <w:snapToGrid/>
              <w:spacing w:line="360" w:lineRule="auto"/>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备注</w:t>
            </w:r>
          </w:p>
        </w:tc>
      </w:tr>
      <w:tr w14:paraId="6855D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center"/>
          </w:tcPr>
          <w:p w14:paraId="65F40743">
            <w:pPr>
              <w:keepNext w:val="0"/>
              <w:keepLines w:val="0"/>
              <w:pageBreakBefore w:val="0"/>
              <w:widowControl w:val="0"/>
              <w:shd w:val="clear" w:color="auto" w:fill="auto"/>
              <w:kinsoku/>
              <w:wordWrap/>
              <w:topLinePunct w:val="0"/>
              <w:bidi w:val="0"/>
              <w:snapToGrid/>
              <w:spacing w:line="360" w:lineRule="auto"/>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3884" w:type="pct"/>
            <w:noWrap w:val="0"/>
            <w:vAlign w:val="center"/>
          </w:tcPr>
          <w:p w14:paraId="27F83AC0">
            <w:pPr>
              <w:keepNext w:val="0"/>
              <w:keepLines w:val="0"/>
              <w:pageBreakBefore w:val="0"/>
              <w:widowControl w:val="0"/>
              <w:shd w:val="clear" w:color="auto" w:fill="auto"/>
              <w:kinsoku/>
              <w:wordWrap/>
              <w:topLinePunct w:val="0"/>
              <w:bidi w:val="0"/>
              <w:snapToGrid/>
              <w:spacing w:line="360" w:lineRule="auto"/>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开标一览表</w:t>
            </w:r>
          </w:p>
        </w:tc>
        <w:tc>
          <w:tcPr>
            <w:tcW w:w="628" w:type="pct"/>
            <w:noWrap w:val="0"/>
            <w:vAlign w:val="center"/>
          </w:tcPr>
          <w:p w14:paraId="68ADF53E">
            <w:pPr>
              <w:keepNext w:val="0"/>
              <w:keepLines w:val="0"/>
              <w:pageBreakBefore w:val="0"/>
              <w:widowControl w:val="0"/>
              <w:shd w:val="clear" w:color="auto" w:fill="auto"/>
              <w:kinsoku/>
              <w:wordWrap/>
              <w:topLinePunct w:val="0"/>
              <w:bidi w:val="0"/>
              <w:snapToGrid/>
              <w:spacing w:line="360" w:lineRule="auto"/>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附件三</w:t>
            </w:r>
          </w:p>
        </w:tc>
      </w:tr>
      <w:tr w14:paraId="0FCC8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center"/>
          </w:tcPr>
          <w:p w14:paraId="1DAF2B62">
            <w:pPr>
              <w:keepNext w:val="0"/>
              <w:keepLines w:val="0"/>
              <w:pageBreakBefore w:val="0"/>
              <w:widowControl w:val="0"/>
              <w:shd w:val="clear" w:color="auto" w:fill="auto"/>
              <w:kinsoku/>
              <w:wordWrap/>
              <w:topLinePunct w:val="0"/>
              <w:bidi w:val="0"/>
              <w:snapToGrid/>
              <w:spacing w:line="360" w:lineRule="auto"/>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p>
        </w:tc>
        <w:tc>
          <w:tcPr>
            <w:tcW w:w="3884" w:type="pct"/>
            <w:noWrap w:val="0"/>
            <w:vAlign w:val="center"/>
          </w:tcPr>
          <w:p w14:paraId="00E4972A">
            <w:pPr>
              <w:keepNext w:val="0"/>
              <w:keepLines w:val="0"/>
              <w:pageBreakBefore w:val="0"/>
              <w:widowControl w:val="0"/>
              <w:shd w:val="clear" w:color="auto" w:fill="auto"/>
              <w:kinsoku/>
              <w:wordWrap/>
              <w:topLinePunct w:val="0"/>
              <w:bidi w:val="0"/>
              <w:snapToGrid/>
              <w:spacing w:line="360" w:lineRule="auto"/>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投标分项报价表</w:t>
            </w:r>
          </w:p>
        </w:tc>
        <w:tc>
          <w:tcPr>
            <w:tcW w:w="628" w:type="pct"/>
            <w:noWrap w:val="0"/>
            <w:vAlign w:val="center"/>
          </w:tcPr>
          <w:p w14:paraId="39C0F017">
            <w:pPr>
              <w:keepNext w:val="0"/>
              <w:keepLines w:val="0"/>
              <w:pageBreakBefore w:val="0"/>
              <w:widowControl w:val="0"/>
              <w:shd w:val="clear" w:color="auto" w:fill="auto"/>
              <w:kinsoku/>
              <w:wordWrap/>
              <w:topLinePunct w:val="0"/>
              <w:bidi w:val="0"/>
              <w:snapToGrid/>
              <w:spacing w:line="360" w:lineRule="auto"/>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附件四</w:t>
            </w:r>
          </w:p>
        </w:tc>
      </w:tr>
    </w:tbl>
    <w:p w14:paraId="4A1F1B85">
      <w:pPr>
        <w:keepNext w:val="0"/>
        <w:keepLines w:val="0"/>
        <w:pageBreakBefore w:val="0"/>
        <w:widowControl w:val="0"/>
        <w:shd w:val="clear" w:color="auto" w:fill="auto"/>
        <w:tabs>
          <w:tab w:val="left" w:pos="0"/>
        </w:tabs>
        <w:kinsoku/>
        <w:wordWrap/>
        <w:topLinePunct w:val="0"/>
        <w:bidi w:val="0"/>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3.2投标文件形式</w:t>
      </w:r>
    </w:p>
    <w:p w14:paraId="54D98991">
      <w:pPr>
        <w:keepNext w:val="0"/>
        <w:keepLines w:val="0"/>
        <w:pageBreakBefore w:val="0"/>
        <w:widowControl w:val="0"/>
        <w:numPr>
          <w:ilvl w:val="0"/>
          <w:numId w:val="3"/>
        </w:numPr>
        <w:shd w:val="clear" w:color="auto" w:fill="auto"/>
        <w:tabs>
          <w:tab w:val="left" w:pos="0"/>
          <w:tab w:val="clear" w:pos="530"/>
        </w:tabs>
        <w:kinsoku/>
        <w:wordWrap/>
        <w:topLinePunct w:val="0"/>
        <w:bidi w:val="0"/>
        <w:snapToGrid/>
        <w:spacing w:line="360" w:lineRule="auto"/>
        <w:ind w:left="0" w:firstLine="399" w:firstLineChars="19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投标人应根据采购文件中所提供的格式，内容按顺序填写并装订成册；</w:t>
      </w:r>
    </w:p>
    <w:p w14:paraId="059164F7">
      <w:pPr>
        <w:keepNext w:val="0"/>
        <w:keepLines w:val="0"/>
        <w:pageBreakBefore w:val="0"/>
        <w:widowControl w:val="0"/>
        <w:numPr>
          <w:ilvl w:val="0"/>
          <w:numId w:val="3"/>
        </w:numPr>
        <w:shd w:val="clear" w:color="auto" w:fill="auto"/>
        <w:tabs>
          <w:tab w:val="left" w:pos="0"/>
          <w:tab w:val="clear" w:pos="530"/>
        </w:tabs>
        <w:kinsoku/>
        <w:wordWrap/>
        <w:topLinePunct w:val="0"/>
        <w:bidi w:val="0"/>
        <w:snapToGrid/>
        <w:spacing w:line="360" w:lineRule="auto"/>
        <w:ind w:left="0" w:firstLine="399" w:firstLineChars="19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rPr>
        <w:t>资格文件</w:t>
      </w:r>
      <w:r>
        <w:rPr>
          <w:rFonts w:hint="eastAsia" w:asciiTheme="minorEastAsia" w:hAnsiTheme="minorEastAsia" w:eastAsiaTheme="minorEastAsia" w:cstheme="minorEastAsia"/>
          <w:color w:val="auto"/>
          <w:sz w:val="21"/>
          <w:szCs w:val="21"/>
          <w:highlight w:val="none"/>
        </w:rPr>
        <w:t>、商务技术文件、报价文件分别包装于各自不透明的标函袋中，标函袋不做统一要求。</w:t>
      </w:r>
    </w:p>
    <w:p w14:paraId="70399618">
      <w:pPr>
        <w:keepNext w:val="0"/>
        <w:keepLines w:val="0"/>
        <w:pageBreakBefore w:val="0"/>
        <w:widowControl w:val="0"/>
        <w:numPr>
          <w:ilvl w:val="0"/>
          <w:numId w:val="3"/>
        </w:numPr>
        <w:shd w:val="clear" w:color="auto" w:fill="auto"/>
        <w:tabs>
          <w:tab w:val="left" w:pos="0"/>
          <w:tab w:val="clear" w:pos="530"/>
        </w:tabs>
        <w:kinsoku/>
        <w:wordWrap/>
        <w:topLinePunct w:val="0"/>
        <w:bidi w:val="0"/>
        <w:snapToGrid/>
        <w:spacing w:line="360" w:lineRule="auto"/>
        <w:ind w:left="0" w:firstLine="399" w:firstLineChars="19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投标文件应有目录以及页码，以便评委检索；</w:t>
      </w:r>
    </w:p>
    <w:p w14:paraId="469A7EC7">
      <w:pPr>
        <w:keepNext w:val="0"/>
        <w:keepLines w:val="0"/>
        <w:pageBreakBefore w:val="0"/>
        <w:widowControl w:val="0"/>
        <w:shd w:val="clear" w:color="auto" w:fill="auto"/>
        <w:tabs>
          <w:tab w:val="left" w:pos="0"/>
        </w:tabs>
        <w:kinsoku/>
        <w:wordWrap/>
        <w:topLinePunct w:val="0"/>
        <w:bidi w:val="0"/>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rPr>
        <w:t>4.投标报价</w:t>
      </w:r>
    </w:p>
    <w:p w14:paraId="5ADD4680">
      <w:pPr>
        <w:keepNext w:val="0"/>
        <w:keepLines w:val="0"/>
        <w:pageBreakBefore w:val="0"/>
        <w:widowControl w:val="0"/>
        <w:shd w:val="clear" w:color="auto" w:fill="auto"/>
        <w:tabs>
          <w:tab w:val="left" w:pos="-180"/>
          <w:tab w:val="left" w:pos="180"/>
          <w:tab w:val="left" w:pos="360"/>
        </w:tabs>
        <w:kinsoku/>
        <w:wordWrap/>
        <w:topLinePunct w:val="0"/>
        <w:bidi w:val="0"/>
        <w:snapToGrid/>
        <w:spacing w:line="360" w:lineRule="auto"/>
        <w:ind w:firstLine="422"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rPr>
        <w:t>4.1▲</w:t>
      </w:r>
      <w:r>
        <w:rPr>
          <w:rFonts w:hint="eastAsia" w:asciiTheme="minorEastAsia" w:hAnsiTheme="minorEastAsia" w:eastAsiaTheme="minorEastAsia" w:cstheme="minorEastAsia"/>
          <w:b/>
          <w:bCs/>
          <w:color w:val="auto"/>
          <w:sz w:val="21"/>
          <w:szCs w:val="21"/>
          <w:highlight w:val="none"/>
          <w:u w:val="single"/>
          <w:lang w:eastAsia="zh-CN"/>
        </w:rPr>
        <w:t>投标报价是指投标人在正确地完全履行合同义务后采购人应支付给投标人的所有价款，包括货款、标准附件、备品备件、专用工具、包装、运输、装卸、保险、税金、货到就位以及安装、调试、软硬件系统集成、培训、保修等一切税金和费用及其他因本项目而产生的一切费用。</w:t>
      </w:r>
    </w:p>
    <w:p w14:paraId="50FFAFFE">
      <w:pPr>
        <w:keepNext w:val="0"/>
        <w:keepLines w:val="0"/>
        <w:pageBreakBefore w:val="0"/>
        <w:widowControl w:val="0"/>
        <w:shd w:val="clear" w:color="auto" w:fill="auto"/>
        <w:kinsoku/>
        <w:wordWrap/>
        <w:topLinePunct w:val="0"/>
        <w:bidi w:val="0"/>
        <w:snapToGrid/>
        <w:spacing w:line="360" w:lineRule="auto"/>
        <w:ind w:firstLine="422"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4.2</w:t>
      </w:r>
      <w:r>
        <w:rPr>
          <w:rFonts w:hint="eastAsia" w:asciiTheme="minorEastAsia" w:hAnsiTheme="minorEastAsia" w:eastAsiaTheme="minorEastAsia" w:cstheme="minorEastAsia"/>
          <w:color w:val="auto"/>
          <w:sz w:val="21"/>
          <w:szCs w:val="21"/>
          <w:highlight w:val="none"/>
        </w:rPr>
        <w:t>投标人必须按第三部分附件的开标一览表、</w:t>
      </w:r>
      <w:r>
        <w:rPr>
          <w:rFonts w:hint="eastAsia" w:asciiTheme="minorEastAsia" w:hAnsiTheme="minorEastAsia" w:eastAsiaTheme="minorEastAsia" w:cstheme="minorEastAsia"/>
          <w:color w:val="auto"/>
          <w:kern w:val="0"/>
          <w:sz w:val="21"/>
          <w:szCs w:val="21"/>
          <w:highlight w:val="none"/>
        </w:rPr>
        <w:t>投标分项报价表</w:t>
      </w:r>
      <w:r>
        <w:rPr>
          <w:rFonts w:hint="eastAsia" w:asciiTheme="minorEastAsia" w:hAnsiTheme="minorEastAsia" w:eastAsiaTheme="minorEastAsia" w:cstheme="minorEastAsia"/>
          <w:color w:val="auto"/>
          <w:sz w:val="21"/>
          <w:szCs w:val="21"/>
          <w:highlight w:val="none"/>
        </w:rPr>
        <w:t>（统一格式）的内容填写投标报价及其他事项，并由法定代表人或授权代表签署。</w:t>
      </w:r>
    </w:p>
    <w:p w14:paraId="794F0634">
      <w:pPr>
        <w:keepNext w:val="0"/>
        <w:keepLines w:val="0"/>
        <w:pageBreakBefore w:val="0"/>
        <w:widowControl w:val="0"/>
        <w:shd w:val="clear" w:color="auto" w:fill="auto"/>
        <w:kinsoku/>
        <w:wordWrap/>
        <w:topLinePunct w:val="0"/>
        <w:bidi w:val="0"/>
        <w:snapToGrid/>
        <w:spacing w:line="360" w:lineRule="auto"/>
        <w:ind w:firstLine="422"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4.3</w:t>
      </w:r>
      <w:r>
        <w:rPr>
          <w:rFonts w:hint="eastAsia" w:asciiTheme="minorEastAsia" w:hAnsiTheme="minorEastAsia" w:eastAsiaTheme="minorEastAsia" w:cstheme="minorEastAsia"/>
          <w:color w:val="auto"/>
          <w:sz w:val="21"/>
          <w:szCs w:val="21"/>
          <w:highlight w:val="none"/>
        </w:rPr>
        <w:t>所有投标均以人民币报价。</w:t>
      </w:r>
    </w:p>
    <w:p w14:paraId="6C4EF1E4">
      <w:pPr>
        <w:keepNext w:val="0"/>
        <w:keepLines w:val="0"/>
        <w:pageBreakBefore w:val="0"/>
        <w:widowControl w:val="0"/>
        <w:shd w:val="clear" w:color="auto" w:fill="auto"/>
        <w:tabs>
          <w:tab w:val="left" w:pos="0"/>
        </w:tabs>
        <w:kinsoku/>
        <w:wordWrap/>
        <w:topLinePunct w:val="0"/>
        <w:bidi w:val="0"/>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u w:val="single"/>
        </w:rPr>
      </w:pPr>
      <w:r>
        <w:rPr>
          <w:rFonts w:hint="eastAsia" w:asciiTheme="minorEastAsia" w:hAnsiTheme="minorEastAsia" w:eastAsiaTheme="minorEastAsia" w:cstheme="minorEastAsia"/>
          <w:b/>
          <w:bCs/>
          <w:color w:val="auto"/>
          <w:sz w:val="21"/>
          <w:szCs w:val="21"/>
          <w:highlight w:val="none"/>
        </w:rPr>
        <w:t>4.4▲</w:t>
      </w:r>
      <w:r>
        <w:rPr>
          <w:rFonts w:hint="eastAsia" w:asciiTheme="minorEastAsia" w:hAnsiTheme="minorEastAsia" w:eastAsiaTheme="minorEastAsia" w:cstheme="minorEastAsia"/>
          <w:b/>
          <w:color w:val="auto"/>
          <w:sz w:val="21"/>
          <w:szCs w:val="21"/>
          <w:highlight w:val="none"/>
          <w:u w:val="single"/>
        </w:rPr>
        <w:t>采购人不接受任何选择报价，只允许一个报价。</w:t>
      </w:r>
    </w:p>
    <w:p w14:paraId="11CB9A2C">
      <w:pPr>
        <w:keepNext w:val="0"/>
        <w:keepLines w:val="0"/>
        <w:pageBreakBefore w:val="0"/>
        <w:widowControl w:val="0"/>
        <w:shd w:val="clear" w:color="auto" w:fill="auto"/>
        <w:tabs>
          <w:tab w:val="left" w:pos="0"/>
        </w:tabs>
        <w:kinsoku/>
        <w:wordWrap/>
        <w:topLinePunct w:val="0"/>
        <w:bidi w:val="0"/>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u w:val="single"/>
        </w:rPr>
      </w:pPr>
      <w:r>
        <w:rPr>
          <w:rFonts w:hint="eastAsia" w:asciiTheme="minorEastAsia" w:hAnsiTheme="minorEastAsia" w:eastAsiaTheme="minorEastAsia" w:cstheme="minorEastAsia"/>
          <w:b/>
          <w:bCs/>
          <w:color w:val="auto"/>
          <w:sz w:val="21"/>
          <w:szCs w:val="21"/>
          <w:highlight w:val="none"/>
        </w:rPr>
        <w:t>4.5</w:t>
      </w:r>
      <w:r>
        <w:rPr>
          <w:rFonts w:hint="eastAsia" w:asciiTheme="minorEastAsia" w:hAnsiTheme="minorEastAsia" w:eastAsiaTheme="minorEastAsia" w:cstheme="minorEastAsia"/>
          <w:b/>
          <w:color w:val="auto"/>
          <w:sz w:val="21"/>
          <w:szCs w:val="21"/>
          <w:highlight w:val="none"/>
        </w:rPr>
        <w:t>最低报价不能作为中标的保证。</w:t>
      </w:r>
    </w:p>
    <w:p w14:paraId="5C9C6270">
      <w:pPr>
        <w:keepNext w:val="0"/>
        <w:keepLines w:val="0"/>
        <w:pageBreakBefore w:val="0"/>
        <w:widowControl w:val="0"/>
        <w:shd w:val="clear" w:color="auto" w:fill="auto"/>
        <w:tabs>
          <w:tab w:val="left" w:pos="0"/>
        </w:tabs>
        <w:kinsoku/>
        <w:wordWrap/>
        <w:topLinePunct w:val="0"/>
        <w:bidi w:val="0"/>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rPr>
        <w:t>5.投标保证金</w:t>
      </w:r>
    </w:p>
    <w:p w14:paraId="261C66F7">
      <w:pPr>
        <w:keepNext w:val="0"/>
        <w:keepLines w:val="0"/>
        <w:pageBreakBefore w:val="0"/>
        <w:widowControl w:val="0"/>
        <w:numPr>
          <w:ilvl w:val="1"/>
          <w:numId w:val="4"/>
        </w:numPr>
        <w:shd w:val="clear" w:color="auto" w:fill="auto"/>
        <w:tabs>
          <w:tab w:val="left" w:pos="0"/>
          <w:tab w:val="clear" w:pos="992"/>
        </w:tabs>
        <w:kinsoku/>
        <w:wordWrap/>
        <w:topLinePunct w:val="0"/>
        <w:bidi w:val="0"/>
        <w:snapToGrid/>
        <w:spacing w:line="360" w:lineRule="auto"/>
        <w:ind w:left="0" w:firstLine="401" w:firstLineChars="19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投标人必须在投标截止时间前缴纳（转账）投标保证金，否则采购人将不接受其投标。</w:t>
      </w:r>
    </w:p>
    <w:p w14:paraId="395A6A5B">
      <w:pPr>
        <w:keepNext w:val="0"/>
        <w:keepLines w:val="0"/>
        <w:pageBreakBefore w:val="0"/>
        <w:widowControl w:val="0"/>
        <w:numPr>
          <w:ilvl w:val="1"/>
          <w:numId w:val="4"/>
        </w:numPr>
        <w:shd w:val="clear" w:color="auto" w:fill="auto"/>
        <w:tabs>
          <w:tab w:val="left" w:pos="0"/>
          <w:tab w:val="clear" w:pos="992"/>
        </w:tabs>
        <w:kinsoku/>
        <w:wordWrap/>
        <w:topLinePunct w:val="0"/>
        <w:bidi w:val="0"/>
        <w:snapToGrid/>
        <w:spacing w:line="360" w:lineRule="auto"/>
        <w:ind w:left="0" w:firstLine="420"/>
        <w:textAlignment w:val="auto"/>
        <w:rPr>
          <w:rFonts w:hint="eastAsia" w:asciiTheme="minorEastAsia" w:hAnsiTheme="minorEastAsia" w:eastAsiaTheme="minorEastAsia" w:cstheme="minorEastAsia"/>
          <w:b/>
          <w:color w:val="auto"/>
          <w:sz w:val="21"/>
          <w:szCs w:val="21"/>
          <w:highlight w:val="none"/>
          <w:u w:val="single"/>
        </w:rPr>
      </w:pP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color w:val="auto"/>
          <w:sz w:val="21"/>
          <w:szCs w:val="21"/>
          <w:highlight w:val="none"/>
          <w:u w:val="single"/>
        </w:rPr>
        <w:t>如发生下列情况之一，投标保证金将不予退还：</w:t>
      </w:r>
    </w:p>
    <w:p w14:paraId="53A94014">
      <w:pPr>
        <w:keepNext w:val="0"/>
        <w:keepLines w:val="0"/>
        <w:pageBreakBefore w:val="0"/>
        <w:widowControl w:val="0"/>
        <w:shd w:val="clear" w:color="auto" w:fill="auto"/>
        <w:tabs>
          <w:tab w:val="left" w:pos="0"/>
        </w:tabs>
        <w:kinsoku/>
        <w:wordWrap/>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u w:val="single"/>
        </w:rPr>
        <w:t>投标人在采购文件规定的投标有效期内撤回投标；</w:t>
      </w:r>
    </w:p>
    <w:p w14:paraId="519F5D39">
      <w:pPr>
        <w:keepNext w:val="0"/>
        <w:keepLines w:val="0"/>
        <w:pageBreakBefore w:val="0"/>
        <w:widowControl w:val="0"/>
        <w:shd w:val="clear" w:color="auto" w:fill="auto"/>
        <w:tabs>
          <w:tab w:val="left" w:pos="0"/>
        </w:tabs>
        <w:kinsoku/>
        <w:wordWrap/>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u w:val="single"/>
          <w:lang w:eastAsia="zh-CN"/>
        </w:rPr>
        <w:t>中标供应商</w:t>
      </w:r>
      <w:r>
        <w:rPr>
          <w:rFonts w:hint="eastAsia" w:asciiTheme="minorEastAsia" w:hAnsiTheme="minorEastAsia" w:eastAsiaTheme="minorEastAsia" w:cstheme="minorEastAsia"/>
          <w:color w:val="auto"/>
          <w:sz w:val="21"/>
          <w:szCs w:val="21"/>
          <w:highlight w:val="none"/>
          <w:u w:val="single"/>
        </w:rPr>
        <w:t>未按中标通知书中规定的时间与采购人签订合同；</w:t>
      </w:r>
    </w:p>
    <w:p w14:paraId="07D0D26A">
      <w:pPr>
        <w:keepNext w:val="0"/>
        <w:keepLines w:val="0"/>
        <w:pageBreakBefore w:val="0"/>
        <w:widowControl w:val="0"/>
        <w:shd w:val="clear" w:color="auto" w:fill="auto"/>
        <w:tabs>
          <w:tab w:val="left" w:pos="0"/>
        </w:tabs>
        <w:kinsoku/>
        <w:wordWrap/>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u w:val="single"/>
          <w:lang w:eastAsia="zh-CN"/>
        </w:rPr>
        <w:t>中标供应商</w:t>
      </w:r>
      <w:r>
        <w:rPr>
          <w:rFonts w:hint="eastAsia" w:asciiTheme="minorEastAsia" w:hAnsiTheme="minorEastAsia" w:eastAsiaTheme="minorEastAsia" w:cstheme="minorEastAsia"/>
          <w:color w:val="auto"/>
          <w:sz w:val="21"/>
          <w:szCs w:val="21"/>
          <w:highlight w:val="none"/>
          <w:u w:val="single"/>
        </w:rPr>
        <w:t>在规定期限内未能根据采购文件要求提供履约保证金；</w:t>
      </w:r>
    </w:p>
    <w:p w14:paraId="72F33D33">
      <w:pPr>
        <w:keepNext w:val="0"/>
        <w:keepLines w:val="0"/>
        <w:pageBreakBefore w:val="0"/>
        <w:widowControl w:val="0"/>
        <w:shd w:val="clear" w:color="auto" w:fill="auto"/>
        <w:tabs>
          <w:tab w:val="left" w:pos="0"/>
        </w:tabs>
        <w:kinsoku/>
        <w:wordWrap/>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u w:val="single"/>
        </w:rPr>
        <w:t>投标人在采购文件中提供虚假技术指标及参数，经评标委员会确认属实的</w:t>
      </w:r>
      <w:r>
        <w:rPr>
          <w:rFonts w:hint="eastAsia" w:asciiTheme="minorEastAsia" w:hAnsiTheme="minorEastAsia" w:eastAsiaTheme="minorEastAsia" w:cstheme="minorEastAsia"/>
          <w:color w:val="auto"/>
          <w:sz w:val="21"/>
          <w:szCs w:val="21"/>
          <w:highlight w:val="none"/>
          <w:u w:val="single"/>
          <w:lang w:eastAsia="zh-CN"/>
        </w:rPr>
        <w:t>；</w:t>
      </w:r>
    </w:p>
    <w:p w14:paraId="4B364C16">
      <w:pPr>
        <w:keepNext w:val="0"/>
        <w:keepLines w:val="0"/>
        <w:pageBreakBefore w:val="0"/>
        <w:widowControl w:val="0"/>
        <w:shd w:val="clear" w:color="auto" w:fill="auto"/>
        <w:tabs>
          <w:tab w:val="left" w:pos="0"/>
        </w:tabs>
        <w:kinsoku/>
        <w:wordWrap/>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u w:val="single"/>
        </w:rPr>
        <w:t>经采购人的采购监督管理部门审查认定投标人有违反《</w:t>
      </w:r>
      <w:r>
        <w:rPr>
          <w:rFonts w:hint="eastAsia" w:asciiTheme="minorEastAsia" w:hAnsiTheme="minorEastAsia" w:eastAsiaTheme="minorEastAsia" w:cstheme="minorEastAsia"/>
          <w:color w:val="auto"/>
          <w:sz w:val="21"/>
          <w:szCs w:val="21"/>
          <w:highlight w:val="none"/>
          <w:u w:val="single"/>
          <w:lang w:eastAsia="zh-CN"/>
        </w:rPr>
        <w:t>温州市市属国有企业采购管理办法</w:t>
      </w:r>
      <w:r>
        <w:rPr>
          <w:rFonts w:hint="eastAsia" w:asciiTheme="minorEastAsia" w:hAnsiTheme="minorEastAsia" w:eastAsiaTheme="minorEastAsia" w:cstheme="minorEastAsia"/>
          <w:color w:val="auto"/>
          <w:sz w:val="21"/>
          <w:szCs w:val="21"/>
          <w:highlight w:val="none"/>
          <w:u w:val="single"/>
        </w:rPr>
        <w:t>》等有关法律法规的行为。</w:t>
      </w:r>
    </w:p>
    <w:p w14:paraId="4B6F8A4F">
      <w:pPr>
        <w:keepNext w:val="0"/>
        <w:keepLines w:val="0"/>
        <w:pageBreakBefore w:val="0"/>
        <w:widowControl w:val="0"/>
        <w:shd w:val="clear" w:color="auto" w:fill="auto"/>
        <w:tabs>
          <w:tab w:val="left" w:pos="0"/>
        </w:tabs>
        <w:kinsoku/>
        <w:wordWrap/>
        <w:topLinePunct w:val="0"/>
        <w:bidi w:val="0"/>
        <w:snapToGrid/>
        <w:spacing w:line="360" w:lineRule="auto"/>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Cs/>
          <w:color w:val="auto"/>
          <w:sz w:val="21"/>
          <w:szCs w:val="21"/>
          <w:highlight w:val="none"/>
        </w:rPr>
        <w:t>6.投标有效期</w:t>
      </w:r>
    </w:p>
    <w:p w14:paraId="11349254">
      <w:pPr>
        <w:keepNext w:val="0"/>
        <w:keepLines w:val="0"/>
        <w:pageBreakBefore w:val="0"/>
        <w:widowControl w:val="0"/>
        <w:shd w:val="clear" w:color="auto" w:fill="auto"/>
        <w:tabs>
          <w:tab w:val="left" w:pos="0"/>
        </w:tabs>
        <w:kinsoku/>
        <w:wordWrap/>
        <w:topLinePunct w:val="0"/>
        <w:bidi w:val="0"/>
        <w:snapToGrid/>
        <w:spacing w:line="360" w:lineRule="auto"/>
        <w:ind w:firstLine="422"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6.1自开标之日起</w:t>
      </w:r>
      <w:r>
        <w:rPr>
          <w:rFonts w:hint="eastAsia" w:asciiTheme="minorEastAsia" w:hAnsiTheme="minorEastAsia" w:eastAsiaTheme="minorEastAsia" w:cstheme="minorEastAsia"/>
          <w:b/>
          <w:color w:val="auto"/>
          <w:sz w:val="21"/>
          <w:szCs w:val="21"/>
          <w:highlight w:val="none"/>
          <w:u w:val="single"/>
        </w:rPr>
        <w:t xml:space="preserve"> 90</w:t>
      </w:r>
      <w:r>
        <w:rPr>
          <w:rFonts w:hint="eastAsia" w:asciiTheme="minorEastAsia" w:hAnsiTheme="minorEastAsia" w:eastAsiaTheme="minorEastAsia" w:cstheme="minorEastAsia"/>
          <w:b/>
          <w:color w:val="auto"/>
          <w:sz w:val="21"/>
          <w:szCs w:val="21"/>
          <w:highlight w:val="none"/>
        </w:rPr>
        <w:t>天内投标应保持有效。投标有效期短于这个规定期限的投标将视为非响应性投标而予以拒绝。</w:t>
      </w:r>
    </w:p>
    <w:p w14:paraId="7A75B0E5">
      <w:pPr>
        <w:keepNext w:val="0"/>
        <w:keepLines w:val="0"/>
        <w:pageBreakBefore w:val="0"/>
        <w:widowControl w:val="0"/>
        <w:shd w:val="clear" w:color="auto" w:fill="auto"/>
        <w:tabs>
          <w:tab w:val="left" w:pos="0"/>
        </w:tabs>
        <w:kinsoku/>
        <w:wordWrap/>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6.2特殊情况下，在原投标有效期截止前，采购人可与投标人协商延长投标有效期，这种要求和答复均以书面形式进行。投标人可拒绝接受延期要求，而不会导致投标保证金不予退还。同意延长投标有效期的投标人不得修改投标文件。有关退还和不予退还投标保证金的规定在投标有效期的延长期内继续有效。</w:t>
      </w:r>
    </w:p>
    <w:p w14:paraId="610F1783">
      <w:pPr>
        <w:keepNext w:val="0"/>
        <w:keepLines w:val="0"/>
        <w:pageBreakBefore w:val="0"/>
        <w:widowControl w:val="0"/>
        <w:shd w:val="clear" w:color="auto" w:fill="auto"/>
        <w:tabs>
          <w:tab w:val="left" w:pos="0"/>
        </w:tabs>
        <w:kinsoku/>
        <w:wordWrap/>
        <w:topLinePunct w:val="0"/>
        <w:bidi w:val="0"/>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rPr>
        <w:t>7.投标文件的签署和规定</w:t>
      </w:r>
    </w:p>
    <w:p w14:paraId="39645693">
      <w:pPr>
        <w:keepNext w:val="0"/>
        <w:keepLines w:val="0"/>
        <w:pageBreakBefore w:val="0"/>
        <w:widowControl w:val="0"/>
        <w:numPr>
          <w:ilvl w:val="1"/>
          <w:numId w:val="5"/>
        </w:numPr>
        <w:shd w:val="clear" w:color="auto" w:fill="auto"/>
        <w:tabs>
          <w:tab w:val="left" w:pos="0"/>
          <w:tab w:val="clear" w:pos="992"/>
        </w:tabs>
        <w:kinsoku/>
        <w:wordWrap/>
        <w:topLinePunct w:val="0"/>
        <w:bidi w:val="0"/>
        <w:snapToGrid/>
        <w:spacing w:line="360" w:lineRule="auto"/>
        <w:ind w:left="0" w:firstLine="401" w:firstLineChars="190"/>
        <w:textAlignment w:val="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b/>
          <w:color w:val="auto"/>
          <w:sz w:val="21"/>
          <w:szCs w:val="21"/>
          <w:highlight w:val="none"/>
          <w:u w:val="single"/>
        </w:rPr>
        <w:t>投标人应提供投标文件资格文件、商务技术文件、报价文件各一式六份的投标文件，分别装订成册，且单独密封装订（正本与副本允许合并密封）。其中纸质投标文件正本一份、副本五份，共六份。每套投标文件的封面应清楚标明“正本”或“副本”字样，若“正本”与“副本”不符，以“正本”为准。无论中标与否，投标文件均不退还。</w:t>
      </w:r>
    </w:p>
    <w:p w14:paraId="7B5CE473">
      <w:pPr>
        <w:keepNext w:val="0"/>
        <w:keepLines w:val="0"/>
        <w:pageBreakBefore w:val="0"/>
        <w:widowControl w:val="0"/>
        <w:numPr>
          <w:ilvl w:val="1"/>
          <w:numId w:val="5"/>
        </w:numPr>
        <w:shd w:val="clear" w:color="auto" w:fill="auto"/>
        <w:tabs>
          <w:tab w:val="left" w:pos="0"/>
          <w:tab w:val="clear" w:pos="992"/>
        </w:tabs>
        <w:kinsoku/>
        <w:wordWrap/>
        <w:topLinePunct w:val="0"/>
        <w:bidi w:val="0"/>
        <w:snapToGrid/>
        <w:spacing w:line="360" w:lineRule="auto"/>
        <w:ind w:left="0" w:firstLine="399" w:firstLineChars="19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投标文件的正本必须打印或用不褪色的墨水书写，并由法定代表人或其授权代表签署，副本可用正本的复印。</w:t>
      </w:r>
    </w:p>
    <w:p w14:paraId="7CCDDF85">
      <w:pPr>
        <w:keepNext w:val="0"/>
        <w:keepLines w:val="0"/>
        <w:pageBreakBefore w:val="0"/>
        <w:widowControl w:val="0"/>
        <w:numPr>
          <w:ilvl w:val="1"/>
          <w:numId w:val="5"/>
        </w:numPr>
        <w:shd w:val="clear" w:color="auto" w:fill="auto"/>
        <w:tabs>
          <w:tab w:val="left" w:pos="0"/>
          <w:tab w:val="clear" w:pos="992"/>
        </w:tabs>
        <w:kinsoku/>
        <w:wordWrap/>
        <w:topLinePunct w:val="0"/>
        <w:bidi w:val="0"/>
        <w:snapToGrid/>
        <w:spacing w:line="360" w:lineRule="auto"/>
        <w:ind w:left="0" w:firstLine="401" w:firstLineChars="19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投标文件如有修改和增删必须由投标文件签字人在修改和增删处旁签署或盖章，方才有效。</w:t>
      </w:r>
    </w:p>
    <w:p w14:paraId="5F74CB9E">
      <w:pPr>
        <w:keepNext w:val="0"/>
        <w:keepLines w:val="0"/>
        <w:pageBreakBefore w:val="0"/>
        <w:widowControl w:val="0"/>
        <w:numPr>
          <w:ilvl w:val="1"/>
          <w:numId w:val="5"/>
        </w:numPr>
        <w:shd w:val="clear" w:color="auto" w:fill="auto"/>
        <w:tabs>
          <w:tab w:val="left" w:pos="0"/>
          <w:tab w:val="clear" w:pos="992"/>
        </w:tabs>
        <w:kinsoku/>
        <w:wordWrap/>
        <w:topLinePunct w:val="0"/>
        <w:bidi w:val="0"/>
        <w:snapToGrid/>
        <w:spacing w:line="360" w:lineRule="auto"/>
        <w:ind w:left="0" w:firstLine="399" w:firstLineChars="19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投标文件字迹模糊或在关键的技术、商务条款上表述不清楚，将可能导致其投标被拒绝。</w:t>
      </w:r>
    </w:p>
    <w:p w14:paraId="4A652B97">
      <w:pPr>
        <w:keepNext w:val="0"/>
        <w:keepLines w:val="0"/>
        <w:pageBreakBefore w:val="0"/>
        <w:widowControl w:val="0"/>
        <w:shd w:val="clear" w:color="auto" w:fill="auto"/>
        <w:tabs>
          <w:tab w:val="left" w:pos="0"/>
        </w:tabs>
        <w:kinsoku/>
        <w:wordWrap/>
        <w:topLinePunct w:val="0"/>
        <w:bidi w:val="0"/>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rPr>
        <w:t>8.投标文件的密封及标记</w:t>
      </w:r>
    </w:p>
    <w:p w14:paraId="20B15E7D">
      <w:pPr>
        <w:keepNext w:val="0"/>
        <w:keepLines w:val="0"/>
        <w:pageBreakBefore w:val="0"/>
        <w:widowControl w:val="0"/>
        <w:numPr>
          <w:ilvl w:val="1"/>
          <w:numId w:val="6"/>
        </w:numPr>
        <w:shd w:val="clear" w:color="auto" w:fill="auto"/>
        <w:tabs>
          <w:tab w:val="left" w:pos="0"/>
          <w:tab w:val="clear" w:pos="992"/>
        </w:tabs>
        <w:kinsoku/>
        <w:wordWrap/>
        <w:topLinePunct w:val="0"/>
        <w:bidi w:val="0"/>
        <w:snapToGrid/>
        <w:spacing w:line="360" w:lineRule="auto"/>
        <w:ind w:left="0" w:firstLine="401" w:firstLineChars="19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投标人须将投标文件的“资格文件”、“商务技术文件”、“报价文件”单独密封，且在各自的密封袋上标明“资格文件”、“商务技术文件”、“报价文件”字样。</w:t>
      </w:r>
      <w:r>
        <w:rPr>
          <w:rFonts w:hint="eastAsia" w:asciiTheme="minorEastAsia" w:hAnsiTheme="minorEastAsia" w:eastAsiaTheme="minorEastAsia" w:cstheme="minorEastAsia"/>
          <w:b/>
          <w:bCs/>
          <w:color w:val="auto"/>
          <w:sz w:val="21"/>
          <w:szCs w:val="21"/>
          <w:highlight w:val="none"/>
        </w:rPr>
        <w:t>封口处贴上封条，启封处加盖投标单位公章。封皮上写明投标项目名称、项目编号，并注明“开标时启封”字样。</w:t>
      </w:r>
    </w:p>
    <w:p w14:paraId="4B12FC62">
      <w:pPr>
        <w:keepNext w:val="0"/>
        <w:keepLines w:val="0"/>
        <w:pageBreakBefore w:val="0"/>
        <w:widowControl w:val="0"/>
        <w:numPr>
          <w:ilvl w:val="1"/>
          <w:numId w:val="6"/>
        </w:numPr>
        <w:shd w:val="clear" w:color="auto" w:fill="auto"/>
        <w:tabs>
          <w:tab w:val="left" w:pos="0"/>
          <w:tab w:val="clear" w:pos="992"/>
        </w:tabs>
        <w:kinsoku/>
        <w:wordWrap/>
        <w:topLinePunct w:val="0"/>
        <w:bidi w:val="0"/>
        <w:snapToGrid/>
        <w:spacing w:line="360" w:lineRule="auto"/>
        <w:ind w:left="0" w:firstLine="401" w:firstLineChars="190"/>
        <w:textAlignment w:val="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b/>
          <w:color w:val="auto"/>
          <w:sz w:val="21"/>
          <w:szCs w:val="21"/>
          <w:highlight w:val="none"/>
          <w:u w:val="single"/>
        </w:rPr>
        <w:t>如果投标人未按上述要求密封及加写标记，采购人对投标文件的误投和提前启封不负责任。</w:t>
      </w:r>
    </w:p>
    <w:p w14:paraId="052627F6">
      <w:pPr>
        <w:keepNext w:val="0"/>
        <w:keepLines w:val="0"/>
        <w:pageBreakBefore w:val="0"/>
        <w:widowControl w:val="0"/>
        <w:shd w:val="clear" w:color="auto" w:fill="auto"/>
        <w:kinsoku/>
        <w:wordWrap/>
        <w:topLinePunct w:val="0"/>
        <w:bidi w:val="0"/>
        <w:snapToGrid/>
        <w:spacing w:before="200" w:after="200" w:line="360" w:lineRule="auto"/>
        <w:jc w:val="center"/>
        <w:textAlignment w:val="auto"/>
        <w:outlineLvl w:val="0"/>
        <w:rPr>
          <w:rFonts w:hint="eastAsia" w:asciiTheme="minorEastAsia" w:hAnsiTheme="minorEastAsia" w:eastAsiaTheme="minorEastAsia" w:cstheme="minorEastAsia"/>
          <w:color w:val="auto"/>
          <w:sz w:val="21"/>
          <w:szCs w:val="21"/>
          <w:highlight w:val="none"/>
        </w:rPr>
      </w:pPr>
      <w:bookmarkStart w:id="69" w:name="_Toc246261265"/>
      <w:bookmarkStart w:id="70" w:name="_Toc262049418"/>
      <w:bookmarkStart w:id="71" w:name="_Toc222114879"/>
      <w:bookmarkStart w:id="72" w:name="_Toc249758712"/>
      <w:bookmarkStart w:id="73" w:name="_Toc221374626"/>
      <w:bookmarkStart w:id="74" w:name="_Toc245191314"/>
      <w:bookmarkStart w:id="75" w:name="_Toc221423619"/>
      <w:bookmarkStart w:id="76" w:name="_Toc249758864"/>
      <w:bookmarkStart w:id="77" w:name="_Toc245722281"/>
      <w:bookmarkStart w:id="78" w:name="_Toc221356887"/>
      <w:bookmarkStart w:id="79" w:name="_Toc23014"/>
      <w:bookmarkStart w:id="80" w:name="_Toc221356951"/>
      <w:bookmarkStart w:id="81" w:name="_Toc239145354"/>
      <w:bookmarkStart w:id="82" w:name="_Toc262105503"/>
      <w:bookmarkStart w:id="83" w:name="_Toc241404202"/>
      <w:bookmarkStart w:id="84" w:name="_Toc223715998"/>
      <w:r>
        <w:rPr>
          <w:rFonts w:hint="eastAsia" w:asciiTheme="minorEastAsia" w:hAnsiTheme="minorEastAsia" w:eastAsiaTheme="minorEastAsia" w:cstheme="minorEastAsia"/>
          <w:b/>
          <w:bCs/>
          <w:color w:val="auto"/>
          <w:sz w:val="21"/>
          <w:szCs w:val="21"/>
          <w:highlight w:val="none"/>
        </w:rPr>
        <w:t>四、 投标文件的递交</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6125ED89">
      <w:pPr>
        <w:keepNext w:val="0"/>
        <w:keepLines w:val="0"/>
        <w:pageBreakBefore w:val="0"/>
        <w:widowControl w:val="0"/>
        <w:shd w:val="clear" w:color="auto" w:fill="auto"/>
        <w:tabs>
          <w:tab w:val="left" w:pos="0"/>
        </w:tabs>
        <w:kinsoku/>
        <w:wordWrap/>
        <w:topLinePunct w:val="0"/>
        <w:bidi w:val="0"/>
        <w:snapToGrid/>
        <w:spacing w:line="360" w:lineRule="auto"/>
        <w:textAlignment w:val="auto"/>
        <w:rPr>
          <w:rFonts w:hint="eastAsia" w:asciiTheme="minorEastAsia" w:hAnsiTheme="minorEastAsia" w:eastAsiaTheme="minorEastAsia" w:cstheme="minorEastAsia"/>
          <w:b/>
          <w:color w:val="auto"/>
          <w:sz w:val="21"/>
          <w:szCs w:val="21"/>
          <w:highlight w:val="none"/>
        </w:rPr>
      </w:pPr>
      <w:bookmarkStart w:id="85" w:name="_Toc221356888"/>
      <w:bookmarkStart w:id="86" w:name="_Toc262105504"/>
      <w:bookmarkStart w:id="87" w:name="_Toc221356952"/>
      <w:bookmarkStart w:id="88" w:name="_Toc221374627"/>
      <w:bookmarkStart w:id="89" w:name="_Toc222114880"/>
      <w:bookmarkStart w:id="90" w:name="_Toc241404203"/>
      <w:bookmarkStart w:id="91" w:name="_Toc245191315"/>
      <w:bookmarkStart w:id="92" w:name="_Toc223715999"/>
      <w:bookmarkStart w:id="93" w:name="_Toc221423620"/>
      <w:bookmarkStart w:id="94" w:name="_Toc246261266"/>
      <w:bookmarkStart w:id="95" w:name="_Toc249758713"/>
      <w:bookmarkStart w:id="96" w:name="_Toc249758865"/>
      <w:bookmarkStart w:id="97" w:name="_Toc262049419"/>
      <w:bookmarkStart w:id="98" w:name="_Toc239145355"/>
      <w:bookmarkStart w:id="99" w:name="_Toc245722282"/>
      <w:r>
        <w:rPr>
          <w:rFonts w:hint="eastAsia" w:asciiTheme="minorEastAsia" w:hAnsiTheme="minorEastAsia" w:eastAsiaTheme="minorEastAsia" w:cstheme="minorEastAsia"/>
          <w:bCs/>
          <w:color w:val="auto"/>
          <w:sz w:val="21"/>
          <w:szCs w:val="21"/>
          <w:highlight w:val="none"/>
        </w:rPr>
        <w:t>1.投标文件的递交</w:t>
      </w:r>
    </w:p>
    <w:p w14:paraId="360E2F4D">
      <w:pPr>
        <w:keepNext w:val="0"/>
        <w:keepLines w:val="0"/>
        <w:pageBreakBefore w:val="0"/>
        <w:widowControl w:val="0"/>
        <w:numPr>
          <w:ilvl w:val="1"/>
          <w:numId w:val="7"/>
        </w:numPr>
        <w:shd w:val="clear" w:color="auto" w:fill="auto"/>
        <w:tabs>
          <w:tab w:val="left" w:pos="420"/>
          <w:tab w:val="clear" w:pos="992"/>
        </w:tabs>
        <w:kinsoku/>
        <w:wordWrap/>
        <w:topLinePunct w:val="0"/>
        <w:bidi w:val="0"/>
        <w:snapToGrid/>
        <w:spacing w:line="360" w:lineRule="auto"/>
        <w:ind w:left="0" w:firstLine="401" w:firstLineChars="19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w:t>
      </w:r>
      <w:r>
        <w:rPr>
          <w:rFonts w:hint="eastAsia" w:asciiTheme="minorEastAsia" w:hAnsiTheme="minorEastAsia" w:eastAsiaTheme="minorEastAsia" w:cstheme="minorEastAsia"/>
          <w:b/>
          <w:color w:val="auto"/>
          <w:sz w:val="21"/>
          <w:szCs w:val="21"/>
          <w:highlight w:val="none"/>
          <w:u w:val="single"/>
        </w:rPr>
        <w:t>投标文件必须在规定的投标截止时间前送达到指定的收标地点</w:t>
      </w:r>
      <w:r>
        <w:rPr>
          <w:rFonts w:hint="eastAsia" w:asciiTheme="minorEastAsia" w:hAnsiTheme="minorEastAsia" w:eastAsiaTheme="minorEastAsia" w:cstheme="minorEastAsia"/>
          <w:b/>
          <w:color w:val="auto"/>
          <w:sz w:val="21"/>
          <w:szCs w:val="21"/>
          <w:highlight w:val="none"/>
        </w:rPr>
        <w:t>；</w:t>
      </w:r>
    </w:p>
    <w:p w14:paraId="0C2883AE">
      <w:pPr>
        <w:keepNext w:val="0"/>
        <w:keepLines w:val="0"/>
        <w:pageBreakBefore w:val="0"/>
        <w:widowControl w:val="0"/>
        <w:numPr>
          <w:ilvl w:val="1"/>
          <w:numId w:val="7"/>
        </w:numPr>
        <w:shd w:val="clear" w:color="auto" w:fill="auto"/>
        <w:tabs>
          <w:tab w:val="left" w:pos="420"/>
          <w:tab w:val="clear" w:pos="992"/>
        </w:tabs>
        <w:kinsoku/>
        <w:wordWrap/>
        <w:topLinePunct w:val="0"/>
        <w:bidi w:val="0"/>
        <w:snapToGrid/>
        <w:spacing w:line="360" w:lineRule="auto"/>
        <w:ind w:left="0" w:firstLine="401" w:firstLineChars="19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w:t>
      </w:r>
      <w:r>
        <w:rPr>
          <w:rFonts w:hint="eastAsia" w:asciiTheme="minorEastAsia" w:hAnsiTheme="minorEastAsia" w:eastAsiaTheme="minorEastAsia" w:cstheme="minorEastAsia"/>
          <w:b/>
          <w:color w:val="auto"/>
          <w:sz w:val="21"/>
          <w:szCs w:val="21"/>
          <w:highlight w:val="none"/>
          <w:u w:val="single"/>
        </w:rPr>
        <w:t>投标保证金缴纳证明；</w:t>
      </w:r>
    </w:p>
    <w:p w14:paraId="221F4D79">
      <w:pPr>
        <w:keepNext w:val="0"/>
        <w:keepLines w:val="0"/>
        <w:pageBreakBefore w:val="0"/>
        <w:widowControl w:val="0"/>
        <w:numPr>
          <w:ilvl w:val="1"/>
          <w:numId w:val="7"/>
        </w:numPr>
        <w:shd w:val="clear" w:color="auto" w:fill="auto"/>
        <w:tabs>
          <w:tab w:val="left" w:pos="420"/>
          <w:tab w:val="clear" w:pos="992"/>
        </w:tabs>
        <w:kinsoku/>
        <w:wordWrap/>
        <w:topLinePunct w:val="0"/>
        <w:bidi w:val="0"/>
        <w:snapToGrid/>
        <w:spacing w:line="360" w:lineRule="auto"/>
        <w:ind w:left="0" w:firstLine="401" w:firstLineChars="19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w:t>
      </w:r>
      <w:r>
        <w:rPr>
          <w:rFonts w:hint="eastAsia" w:asciiTheme="minorEastAsia" w:hAnsiTheme="minorEastAsia" w:eastAsiaTheme="minorEastAsia" w:cstheme="minorEastAsia"/>
          <w:b/>
          <w:color w:val="auto"/>
          <w:sz w:val="21"/>
          <w:szCs w:val="21"/>
          <w:highlight w:val="none"/>
          <w:u w:val="single"/>
        </w:rPr>
        <w:t>投标人如是法定代表人或个体工商户经营者参加投标的，</w:t>
      </w:r>
      <w:r>
        <w:rPr>
          <w:rFonts w:hint="eastAsia" w:asciiTheme="minorEastAsia" w:hAnsiTheme="minorEastAsia" w:eastAsiaTheme="minorEastAsia" w:cstheme="minorEastAsia"/>
          <w:b/>
          <w:color w:val="auto"/>
          <w:sz w:val="21"/>
          <w:szCs w:val="21"/>
          <w:highlight w:val="none"/>
          <w:u w:val="single"/>
          <w:lang w:val="en-US" w:eastAsia="zh-CN"/>
        </w:rPr>
        <w:t>提供</w:t>
      </w:r>
      <w:r>
        <w:rPr>
          <w:rFonts w:hint="eastAsia" w:asciiTheme="minorEastAsia" w:hAnsiTheme="minorEastAsia" w:eastAsiaTheme="minorEastAsia" w:cstheme="minorEastAsia"/>
          <w:b/>
          <w:color w:val="auto"/>
          <w:sz w:val="21"/>
          <w:szCs w:val="21"/>
          <w:highlight w:val="none"/>
          <w:u w:val="single"/>
        </w:rPr>
        <w:t>法定代表人有效身份证明（原件）、企业/事业单位法人营业执照或个体工商户营业执照复印件（加盖公章）</w:t>
      </w:r>
      <w:r>
        <w:rPr>
          <w:rFonts w:hint="eastAsia" w:asciiTheme="minorEastAsia" w:hAnsiTheme="minorEastAsia" w:eastAsiaTheme="minorEastAsia" w:cstheme="minorEastAsia"/>
          <w:b/>
          <w:color w:val="auto"/>
          <w:sz w:val="21"/>
          <w:szCs w:val="21"/>
          <w:highlight w:val="none"/>
        </w:rPr>
        <w:t>；</w:t>
      </w:r>
    </w:p>
    <w:p w14:paraId="06700EC9">
      <w:pPr>
        <w:keepNext w:val="0"/>
        <w:keepLines w:val="0"/>
        <w:pageBreakBefore w:val="0"/>
        <w:widowControl w:val="0"/>
        <w:numPr>
          <w:ilvl w:val="1"/>
          <w:numId w:val="7"/>
        </w:numPr>
        <w:shd w:val="clear" w:color="auto" w:fill="auto"/>
        <w:tabs>
          <w:tab w:val="left" w:pos="420"/>
          <w:tab w:val="clear" w:pos="992"/>
        </w:tabs>
        <w:kinsoku/>
        <w:wordWrap/>
        <w:topLinePunct w:val="0"/>
        <w:bidi w:val="0"/>
        <w:snapToGrid/>
        <w:spacing w:line="360" w:lineRule="auto"/>
        <w:ind w:left="0" w:firstLine="401" w:firstLineChars="19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w:t>
      </w:r>
      <w:r>
        <w:rPr>
          <w:rFonts w:hint="eastAsia" w:asciiTheme="minorEastAsia" w:hAnsiTheme="minorEastAsia" w:eastAsiaTheme="minorEastAsia" w:cstheme="minorEastAsia"/>
          <w:b/>
          <w:color w:val="auto"/>
          <w:sz w:val="21"/>
          <w:szCs w:val="21"/>
          <w:highlight w:val="none"/>
          <w:u w:val="single"/>
        </w:rPr>
        <w:t>投标人如是授权代表参加投标的，</w:t>
      </w:r>
      <w:r>
        <w:rPr>
          <w:rFonts w:hint="eastAsia" w:asciiTheme="minorEastAsia" w:hAnsiTheme="minorEastAsia" w:eastAsiaTheme="minorEastAsia" w:cstheme="minorEastAsia"/>
          <w:b/>
          <w:color w:val="auto"/>
          <w:sz w:val="21"/>
          <w:szCs w:val="21"/>
          <w:highlight w:val="none"/>
          <w:u w:val="single"/>
          <w:lang w:val="en-US" w:eastAsia="zh-CN"/>
        </w:rPr>
        <w:t>提供</w:t>
      </w:r>
      <w:r>
        <w:rPr>
          <w:rFonts w:hint="eastAsia" w:asciiTheme="minorEastAsia" w:hAnsiTheme="minorEastAsia" w:eastAsiaTheme="minorEastAsia" w:cstheme="minorEastAsia"/>
          <w:b/>
          <w:color w:val="auto"/>
          <w:sz w:val="21"/>
          <w:szCs w:val="21"/>
          <w:highlight w:val="none"/>
          <w:u w:val="single"/>
        </w:rPr>
        <w:t>法定代表人授权书（原件）、授权代表有效身份证明（原件）、企业/事业单位法人营业执照复印件（加盖公章）</w:t>
      </w:r>
      <w:r>
        <w:rPr>
          <w:rFonts w:hint="eastAsia" w:asciiTheme="minorEastAsia" w:hAnsiTheme="minorEastAsia" w:eastAsiaTheme="minorEastAsia" w:cstheme="minorEastAsia"/>
          <w:b/>
          <w:color w:val="auto"/>
          <w:sz w:val="21"/>
          <w:szCs w:val="21"/>
          <w:highlight w:val="none"/>
        </w:rPr>
        <w:t>。</w:t>
      </w:r>
    </w:p>
    <w:p w14:paraId="37276BFD">
      <w:pPr>
        <w:keepNext w:val="0"/>
        <w:keepLines w:val="0"/>
        <w:pageBreakBefore w:val="0"/>
        <w:widowControl w:val="0"/>
        <w:numPr>
          <w:ilvl w:val="1"/>
          <w:numId w:val="7"/>
        </w:numPr>
        <w:shd w:val="clear" w:color="auto" w:fill="auto"/>
        <w:tabs>
          <w:tab w:val="left" w:pos="420"/>
          <w:tab w:val="clear" w:pos="992"/>
        </w:tabs>
        <w:kinsoku/>
        <w:wordWrap/>
        <w:topLinePunct w:val="0"/>
        <w:bidi w:val="0"/>
        <w:snapToGrid/>
        <w:spacing w:line="360" w:lineRule="auto"/>
        <w:ind w:left="0" w:firstLine="401" w:firstLineChars="19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w:t>
      </w:r>
      <w:r>
        <w:rPr>
          <w:rFonts w:hint="eastAsia" w:asciiTheme="minorEastAsia" w:hAnsiTheme="minorEastAsia" w:eastAsiaTheme="minorEastAsia" w:cstheme="minorEastAsia"/>
          <w:b/>
          <w:color w:val="auto"/>
          <w:sz w:val="21"/>
          <w:szCs w:val="21"/>
          <w:highlight w:val="none"/>
          <w:u w:val="single"/>
        </w:rPr>
        <w:t>法定代表人授权书原件、企业/事业法人营业执照或或个体工商户营业执照复印件等如密封在投标文件商务技术文件中，在商务技术文件开启后经查验符合要求亦为有效。</w:t>
      </w:r>
    </w:p>
    <w:p w14:paraId="4B57E079">
      <w:pPr>
        <w:keepNext w:val="0"/>
        <w:keepLines w:val="0"/>
        <w:pageBreakBefore w:val="0"/>
        <w:widowControl w:val="0"/>
        <w:shd w:val="clear" w:color="auto" w:fill="auto"/>
        <w:tabs>
          <w:tab w:val="left" w:pos="0"/>
        </w:tabs>
        <w:kinsoku/>
        <w:wordWrap/>
        <w:topLinePunct w:val="0"/>
        <w:bidi w:val="0"/>
        <w:snapToGrid/>
        <w:spacing w:line="360" w:lineRule="auto"/>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2.投标文件的修改和撤回</w:t>
      </w:r>
    </w:p>
    <w:p w14:paraId="59794E28">
      <w:pPr>
        <w:keepNext w:val="0"/>
        <w:keepLines w:val="0"/>
        <w:pageBreakBefore w:val="0"/>
        <w:widowControl w:val="0"/>
        <w:numPr>
          <w:ilvl w:val="1"/>
          <w:numId w:val="8"/>
        </w:numPr>
        <w:shd w:val="clear" w:color="auto" w:fill="auto"/>
        <w:tabs>
          <w:tab w:val="left" w:pos="0"/>
          <w:tab w:val="clear" w:pos="992"/>
        </w:tabs>
        <w:kinsoku/>
        <w:wordWrap/>
        <w:topLinePunct w:val="0"/>
        <w:bidi w:val="0"/>
        <w:snapToGrid/>
        <w:spacing w:line="360" w:lineRule="auto"/>
        <w:ind w:left="0" w:firstLine="401" w:firstLineChars="19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
          <w:color w:val="auto"/>
          <w:sz w:val="21"/>
          <w:szCs w:val="21"/>
          <w:highlight w:val="none"/>
        </w:rPr>
        <w:t>在投标截止时间前，投标人可以用书面形式提出修改或撤回其投标并送达到采购人，但不得影响开标活动的正常进行。</w:t>
      </w:r>
    </w:p>
    <w:p w14:paraId="72DD4642">
      <w:pPr>
        <w:keepNext w:val="0"/>
        <w:keepLines w:val="0"/>
        <w:pageBreakBefore w:val="0"/>
        <w:widowControl w:val="0"/>
        <w:numPr>
          <w:ilvl w:val="1"/>
          <w:numId w:val="8"/>
        </w:numPr>
        <w:shd w:val="clear" w:color="auto" w:fill="auto"/>
        <w:tabs>
          <w:tab w:val="left" w:pos="0"/>
          <w:tab w:val="clear" w:pos="992"/>
        </w:tabs>
        <w:kinsoku/>
        <w:wordWrap/>
        <w:topLinePunct w:val="0"/>
        <w:bidi w:val="0"/>
        <w:snapToGrid/>
        <w:spacing w:line="360" w:lineRule="auto"/>
        <w:ind w:left="0" w:firstLine="399" w:firstLineChars="19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rPr>
        <w:t>“投标文件修改”或“投标文件撤回通知”都应密封并在密封袋上写明投标项目名称、编号、投标单位名称，并注明“投标文件修改”或“投标文件撤回通知”字样。</w:t>
      </w:r>
    </w:p>
    <w:p w14:paraId="7F5C7BB4">
      <w:pPr>
        <w:keepNext w:val="0"/>
        <w:keepLines w:val="0"/>
        <w:pageBreakBefore w:val="0"/>
        <w:widowControl w:val="0"/>
        <w:numPr>
          <w:ilvl w:val="1"/>
          <w:numId w:val="8"/>
        </w:numPr>
        <w:shd w:val="clear" w:color="auto" w:fill="auto"/>
        <w:tabs>
          <w:tab w:val="left" w:pos="0"/>
          <w:tab w:val="clear" w:pos="992"/>
        </w:tabs>
        <w:kinsoku/>
        <w:wordWrap/>
        <w:topLinePunct w:val="0"/>
        <w:bidi w:val="0"/>
        <w:snapToGrid/>
        <w:spacing w:line="360" w:lineRule="auto"/>
        <w:ind w:left="0" w:firstLine="399" w:firstLineChars="19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rPr>
        <w:t>从投标截止日期起至投标有效期满这段时间内，投标人不得撤回其投标，否则投标保证金将</w:t>
      </w:r>
      <w:r>
        <w:rPr>
          <w:rFonts w:hint="eastAsia" w:asciiTheme="minorEastAsia" w:hAnsiTheme="minorEastAsia" w:eastAsiaTheme="minorEastAsia" w:cstheme="minorEastAsia"/>
          <w:color w:val="auto"/>
          <w:sz w:val="21"/>
          <w:szCs w:val="21"/>
          <w:highlight w:val="none"/>
        </w:rPr>
        <w:t>被不予退还。</w:t>
      </w:r>
    </w:p>
    <w:p w14:paraId="63599112">
      <w:pPr>
        <w:keepNext w:val="0"/>
        <w:keepLines w:val="0"/>
        <w:pageBreakBefore w:val="0"/>
        <w:widowControl w:val="0"/>
        <w:shd w:val="clear" w:color="auto" w:fill="auto"/>
        <w:tabs>
          <w:tab w:val="left" w:pos="0"/>
        </w:tabs>
        <w:kinsoku/>
        <w:wordWrap/>
        <w:topLinePunct w:val="0"/>
        <w:bidi w:val="0"/>
        <w:snapToGrid/>
        <w:spacing w:line="360" w:lineRule="auto"/>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3.▲</w:t>
      </w:r>
      <w:r>
        <w:rPr>
          <w:rFonts w:hint="eastAsia" w:asciiTheme="minorEastAsia" w:hAnsiTheme="minorEastAsia" w:eastAsiaTheme="minorEastAsia" w:cstheme="minorEastAsia"/>
          <w:b/>
          <w:bCs/>
          <w:color w:val="auto"/>
          <w:sz w:val="21"/>
          <w:szCs w:val="21"/>
          <w:highlight w:val="none"/>
          <w:u w:val="single"/>
        </w:rPr>
        <w:t>发生下列情况之一的投标文件将不予受理</w:t>
      </w:r>
      <w:r>
        <w:rPr>
          <w:rFonts w:hint="eastAsia" w:asciiTheme="minorEastAsia" w:hAnsiTheme="minorEastAsia" w:eastAsiaTheme="minorEastAsia" w:cstheme="minorEastAsia"/>
          <w:bCs/>
          <w:color w:val="auto"/>
          <w:sz w:val="21"/>
          <w:szCs w:val="21"/>
          <w:highlight w:val="none"/>
        </w:rPr>
        <w:t>：</w:t>
      </w:r>
    </w:p>
    <w:p w14:paraId="3608428B">
      <w:pPr>
        <w:keepNext w:val="0"/>
        <w:keepLines w:val="0"/>
        <w:pageBreakBefore w:val="0"/>
        <w:widowControl w:val="0"/>
        <w:numPr>
          <w:ilvl w:val="1"/>
          <w:numId w:val="9"/>
        </w:numPr>
        <w:shd w:val="clear" w:color="auto" w:fill="auto"/>
        <w:tabs>
          <w:tab w:val="left" w:pos="0"/>
          <w:tab w:val="clear" w:pos="992"/>
        </w:tabs>
        <w:kinsoku/>
        <w:wordWrap/>
        <w:topLinePunct w:val="0"/>
        <w:bidi w:val="0"/>
        <w:snapToGrid/>
        <w:spacing w:line="360" w:lineRule="auto"/>
        <w:ind w:left="0" w:firstLine="401" w:firstLineChars="190"/>
        <w:textAlignment w:val="auto"/>
        <w:rPr>
          <w:rFonts w:hint="eastAsia" w:asciiTheme="minorEastAsia" w:hAnsiTheme="minorEastAsia" w:eastAsiaTheme="minorEastAsia" w:cstheme="minorEastAsia"/>
          <w:b/>
          <w:color w:val="auto"/>
          <w:sz w:val="21"/>
          <w:szCs w:val="21"/>
          <w:highlight w:val="none"/>
          <w:u w:val="single"/>
        </w:rPr>
      </w:pPr>
      <w:r>
        <w:rPr>
          <w:rFonts w:hint="eastAsia" w:asciiTheme="minorEastAsia" w:hAnsiTheme="minorEastAsia" w:eastAsiaTheme="minorEastAsia" w:cstheme="minorEastAsia"/>
          <w:b/>
          <w:bCs/>
          <w:color w:val="auto"/>
          <w:sz w:val="21"/>
          <w:szCs w:val="21"/>
          <w:highlight w:val="none"/>
          <w:u w:val="single"/>
        </w:rPr>
        <w:t>在投标截止时间以后送达的投标文件；</w:t>
      </w:r>
    </w:p>
    <w:p w14:paraId="242C0614">
      <w:pPr>
        <w:keepNext w:val="0"/>
        <w:keepLines w:val="0"/>
        <w:pageBreakBefore w:val="0"/>
        <w:widowControl w:val="0"/>
        <w:numPr>
          <w:ilvl w:val="1"/>
          <w:numId w:val="9"/>
        </w:numPr>
        <w:shd w:val="clear" w:color="auto" w:fill="auto"/>
        <w:tabs>
          <w:tab w:val="left" w:pos="0"/>
          <w:tab w:val="clear" w:pos="992"/>
        </w:tabs>
        <w:kinsoku/>
        <w:wordWrap/>
        <w:topLinePunct w:val="0"/>
        <w:bidi w:val="0"/>
        <w:snapToGrid/>
        <w:spacing w:line="360" w:lineRule="auto"/>
        <w:ind w:left="0" w:firstLine="401" w:firstLineChars="190"/>
        <w:textAlignment w:val="auto"/>
        <w:rPr>
          <w:rFonts w:hint="eastAsia" w:asciiTheme="minorEastAsia" w:hAnsiTheme="minorEastAsia" w:eastAsiaTheme="minorEastAsia" w:cstheme="minorEastAsia"/>
          <w:b/>
          <w:color w:val="auto"/>
          <w:sz w:val="21"/>
          <w:szCs w:val="21"/>
          <w:highlight w:val="none"/>
          <w:u w:val="single"/>
        </w:rPr>
      </w:pPr>
      <w:r>
        <w:rPr>
          <w:rFonts w:hint="eastAsia" w:asciiTheme="minorEastAsia" w:hAnsiTheme="minorEastAsia" w:eastAsiaTheme="minorEastAsia" w:cstheme="minorEastAsia"/>
          <w:b/>
          <w:bCs/>
          <w:color w:val="auto"/>
          <w:sz w:val="21"/>
          <w:szCs w:val="21"/>
          <w:highlight w:val="none"/>
          <w:u w:val="single"/>
        </w:rPr>
        <w:t>未购买采购文件；</w:t>
      </w:r>
    </w:p>
    <w:p w14:paraId="5B5C1C98">
      <w:pPr>
        <w:keepNext w:val="0"/>
        <w:keepLines w:val="0"/>
        <w:pageBreakBefore w:val="0"/>
        <w:widowControl w:val="0"/>
        <w:numPr>
          <w:ilvl w:val="1"/>
          <w:numId w:val="9"/>
        </w:numPr>
        <w:shd w:val="clear" w:color="auto" w:fill="auto"/>
        <w:tabs>
          <w:tab w:val="left" w:pos="0"/>
          <w:tab w:val="clear" w:pos="992"/>
        </w:tabs>
        <w:kinsoku/>
        <w:wordWrap/>
        <w:topLinePunct w:val="0"/>
        <w:bidi w:val="0"/>
        <w:snapToGrid/>
        <w:spacing w:line="360" w:lineRule="auto"/>
        <w:ind w:left="0" w:firstLine="401" w:firstLineChars="190"/>
        <w:textAlignment w:val="auto"/>
        <w:rPr>
          <w:rFonts w:hint="eastAsia" w:asciiTheme="minorEastAsia" w:hAnsiTheme="minorEastAsia" w:eastAsiaTheme="minorEastAsia" w:cstheme="minorEastAsia"/>
          <w:b/>
          <w:color w:val="auto"/>
          <w:sz w:val="21"/>
          <w:szCs w:val="21"/>
          <w:highlight w:val="none"/>
          <w:u w:val="single"/>
        </w:rPr>
      </w:pPr>
      <w:r>
        <w:rPr>
          <w:rFonts w:hint="eastAsia" w:asciiTheme="minorEastAsia" w:hAnsiTheme="minorEastAsia" w:eastAsiaTheme="minorEastAsia" w:cstheme="minorEastAsia"/>
          <w:b/>
          <w:color w:val="auto"/>
          <w:sz w:val="21"/>
          <w:szCs w:val="21"/>
          <w:highlight w:val="none"/>
          <w:u w:val="single"/>
        </w:rPr>
        <w:t>未递交投标保证金；</w:t>
      </w:r>
    </w:p>
    <w:p w14:paraId="213D59D7">
      <w:pPr>
        <w:keepNext w:val="0"/>
        <w:keepLines w:val="0"/>
        <w:pageBreakBefore w:val="0"/>
        <w:widowControl w:val="0"/>
        <w:numPr>
          <w:ilvl w:val="1"/>
          <w:numId w:val="9"/>
        </w:numPr>
        <w:shd w:val="clear" w:color="auto" w:fill="auto"/>
        <w:tabs>
          <w:tab w:val="left" w:pos="0"/>
          <w:tab w:val="clear" w:pos="992"/>
        </w:tabs>
        <w:kinsoku/>
        <w:wordWrap/>
        <w:topLinePunct w:val="0"/>
        <w:bidi w:val="0"/>
        <w:snapToGrid/>
        <w:spacing w:line="360" w:lineRule="auto"/>
        <w:ind w:left="0" w:firstLine="401" w:firstLineChars="190"/>
        <w:textAlignment w:val="auto"/>
        <w:rPr>
          <w:rFonts w:hint="eastAsia" w:asciiTheme="minorEastAsia" w:hAnsiTheme="minorEastAsia" w:eastAsiaTheme="minorEastAsia" w:cstheme="minorEastAsia"/>
          <w:b/>
          <w:color w:val="auto"/>
          <w:sz w:val="21"/>
          <w:szCs w:val="21"/>
          <w:highlight w:val="none"/>
          <w:u w:val="single"/>
        </w:rPr>
      </w:pPr>
      <w:r>
        <w:rPr>
          <w:rFonts w:hint="eastAsia" w:asciiTheme="minorEastAsia" w:hAnsiTheme="minorEastAsia" w:eastAsiaTheme="minorEastAsia" w:cstheme="minorEastAsia"/>
          <w:b/>
          <w:color w:val="auto"/>
          <w:sz w:val="21"/>
          <w:szCs w:val="21"/>
          <w:highlight w:val="none"/>
          <w:u w:val="single"/>
        </w:rPr>
        <w:t>未密封盖章或未装订的投标文件及由于包装不妥在送达途中严重破损或失散的投标文件；</w:t>
      </w:r>
    </w:p>
    <w:p w14:paraId="5C6904DF">
      <w:pPr>
        <w:keepNext w:val="0"/>
        <w:keepLines w:val="0"/>
        <w:pageBreakBefore w:val="0"/>
        <w:widowControl w:val="0"/>
        <w:numPr>
          <w:ilvl w:val="1"/>
          <w:numId w:val="9"/>
        </w:numPr>
        <w:shd w:val="clear" w:color="auto" w:fill="auto"/>
        <w:tabs>
          <w:tab w:val="left" w:pos="0"/>
          <w:tab w:val="clear" w:pos="992"/>
        </w:tabs>
        <w:kinsoku/>
        <w:wordWrap/>
        <w:topLinePunct w:val="0"/>
        <w:bidi w:val="0"/>
        <w:snapToGrid/>
        <w:spacing w:line="360" w:lineRule="auto"/>
        <w:ind w:left="0" w:firstLine="401" w:firstLineChars="190"/>
        <w:textAlignment w:val="auto"/>
        <w:rPr>
          <w:rFonts w:hint="eastAsia" w:asciiTheme="minorEastAsia" w:hAnsiTheme="minorEastAsia" w:eastAsiaTheme="minorEastAsia" w:cstheme="minorEastAsia"/>
          <w:b/>
          <w:color w:val="auto"/>
          <w:sz w:val="21"/>
          <w:szCs w:val="21"/>
          <w:highlight w:val="none"/>
          <w:u w:val="single"/>
        </w:rPr>
      </w:pPr>
      <w:r>
        <w:rPr>
          <w:rFonts w:hint="eastAsia" w:asciiTheme="minorEastAsia" w:hAnsiTheme="minorEastAsia" w:eastAsiaTheme="minorEastAsia" w:cstheme="minorEastAsia"/>
          <w:b/>
          <w:color w:val="auto"/>
          <w:sz w:val="21"/>
          <w:szCs w:val="21"/>
          <w:highlight w:val="none"/>
          <w:u w:val="single"/>
        </w:rPr>
        <w:t>以电讯形式递交的投标文件。</w:t>
      </w:r>
    </w:p>
    <w:p w14:paraId="7F7AECFA">
      <w:pPr>
        <w:keepNext w:val="0"/>
        <w:keepLines w:val="0"/>
        <w:pageBreakBefore w:val="0"/>
        <w:widowControl w:val="0"/>
        <w:shd w:val="clear" w:color="auto" w:fill="auto"/>
        <w:tabs>
          <w:tab w:val="left" w:pos="360"/>
          <w:tab w:val="left" w:pos="540"/>
          <w:tab w:val="left" w:pos="1260"/>
        </w:tabs>
        <w:kinsoku/>
        <w:wordWrap/>
        <w:topLinePunct w:val="0"/>
        <w:bidi w:val="0"/>
        <w:snapToGrid/>
        <w:spacing w:before="200" w:after="200" w:line="360" w:lineRule="auto"/>
        <w:ind w:left="777" w:hanging="742" w:hangingChars="352"/>
        <w:jc w:val="center"/>
        <w:textAlignment w:val="auto"/>
        <w:outlineLvl w:val="0"/>
        <w:rPr>
          <w:rFonts w:hint="eastAsia" w:asciiTheme="minorEastAsia" w:hAnsiTheme="minorEastAsia" w:eastAsiaTheme="minorEastAsia" w:cstheme="minorEastAsia"/>
          <w:color w:val="auto"/>
          <w:sz w:val="21"/>
          <w:szCs w:val="21"/>
          <w:highlight w:val="none"/>
        </w:rPr>
      </w:pPr>
      <w:bookmarkStart w:id="100" w:name="_Toc31728"/>
      <w:r>
        <w:rPr>
          <w:rFonts w:hint="eastAsia" w:asciiTheme="minorEastAsia" w:hAnsiTheme="minorEastAsia" w:eastAsiaTheme="minorEastAsia" w:cstheme="minorEastAsia"/>
          <w:b/>
          <w:bCs/>
          <w:color w:val="auto"/>
          <w:sz w:val="21"/>
          <w:szCs w:val="21"/>
          <w:highlight w:val="none"/>
        </w:rPr>
        <w:t>五、 开标和评标</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6F5F7474">
      <w:pPr>
        <w:keepNext w:val="0"/>
        <w:keepLines w:val="0"/>
        <w:pageBreakBefore w:val="0"/>
        <w:widowControl w:val="0"/>
        <w:shd w:val="clear" w:color="auto" w:fill="auto"/>
        <w:tabs>
          <w:tab w:val="left" w:pos="0"/>
        </w:tabs>
        <w:kinsoku/>
        <w:wordWrap/>
        <w:topLinePunct w:val="0"/>
        <w:bidi w:val="0"/>
        <w:snapToGrid/>
        <w:spacing w:line="360" w:lineRule="auto"/>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1.评标委员会</w:t>
      </w:r>
    </w:p>
    <w:p w14:paraId="274BD804">
      <w:pPr>
        <w:keepNext w:val="0"/>
        <w:keepLines w:val="0"/>
        <w:pageBreakBefore w:val="0"/>
        <w:widowControl w:val="0"/>
        <w:shd w:val="clear" w:color="auto" w:fill="auto"/>
        <w:kinsoku/>
        <w:wordWrap/>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采购人依法组建评标委员会。评标委员会的成员在评标过程中必须严格遵守《</w:t>
      </w:r>
      <w:r>
        <w:rPr>
          <w:rFonts w:hint="eastAsia" w:asciiTheme="minorEastAsia" w:hAnsiTheme="minorEastAsia" w:eastAsiaTheme="minorEastAsia" w:cstheme="minorEastAsia"/>
          <w:bCs/>
          <w:color w:val="auto"/>
          <w:sz w:val="21"/>
          <w:szCs w:val="21"/>
          <w:highlight w:val="none"/>
          <w:lang w:eastAsia="zh-CN"/>
        </w:rPr>
        <w:t>温州市市属国有企业采购管理办法</w:t>
      </w:r>
      <w:r>
        <w:rPr>
          <w:rFonts w:hint="eastAsia" w:asciiTheme="minorEastAsia" w:hAnsiTheme="minorEastAsia" w:eastAsiaTheme="minorEastAsia" w:cstheme="minorEastAsia"/>
          <w:bCs/>
          <w:color w:val="auto"/>
          <w:sz w:val="21"/>
          <w:szCs w:val="21"/>
          <w:highlight w:val="none"/>
        </w:rPr>
        <w:t>》等有关法律、法规的规定。</w:t>
      </w:r>
    </w:p>
    <w:p w14:paraId="509B8523">
      <w:pPr>
        <w:keepNext w:val="0"/>
        <w:keepLines w:val="0"/>
        <w:pageBreakBefore w:val="0"/>
        <w:widowControl w:val="0"/>
        <w:shd w:val="clear" w:color="auto" w:fill="auto"/>
        <w:tabs>
          <w:tab w:val="left" w:pos="0"/>
        </w:tabs>
        <w:kinsoku/>
        <w:wordWrap/>
        <w:topLinePunct w:val="0"/>
        <w:bidi w:val="0"/>
        <w:snapToGrid/>
        <w:spacing w:line="360" w:lineRule="auto"/>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2.评标过程的保密性</w:t>
      </w:r>
    </w:p>
    <w:p w14:paraId="127F4CD3">
      <w:pPr>
        <w:keepNext w:val="0"/>
        <w:keepLines w:val="0"/>
        <w:pageBreakBefore w:val="0"/>
        <w:widowControl w:val="0"/>
        <w:shd w:val="clear" w:color="auto" w:fill="auto"/>
        <w:kinsoku/>
        <w:wordWrap/>
        <w:topLinePunct w:val="0"/>
        <w:bidi w:val="0"/>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开标后直至向</w:t>
      </w:r>
      <w:r>
        <w:rPr>
          <w:rFonts w:hint="eastAsia" w:asciiTheme="minorEastAsia" w:hAnsiTheme="minorEastAsia" w:eastAsiaTheme="minorEastAsia" w:cstheme="minorEastAsia"/>
          <w:b/>
          <w:bCs/>
          <w:color w:val="auto"/>
          <w:sz w:val="21"/>
          <w:szCs w:val="21"/>
          <w:highlight w:val="none"/>
          <w:lang w:eastAsia="zh-CN"/>
        </w:rPr>
        <w:t>中标供应商</w:t>
      </w:r>
      <w:r>
        <w:rPr>
          <w:rFonts w:hint="eastAsia" w:asciiTheme="minorEastAsia" w:hAnsiTheme="minorEastAsia" w:eastAsiaTheme="minorEastAsia" w:cstheme="minorEastAsia"/>
          <w:b/>
          <w:bCs/>
          <w:color w:val="auto"/>
          <w:sz w:val="21"/>
          <w:szCs w:val="21"/>
          <w:highlight w:val="none"/>
        </w:rPr>
        <w:t>授予合同时止，凡与评审有关的资料均不得向投标人及与评标无关人员透露。如果投标人在评标过程中试图向采购人和评标委员会施加影响，其投标将被拒绝。</w:t>
      </w:r>
    </w:p>
    <w:p w14:paraId="25283BDA">
      <w:pPr>
        <w:keepNext w:val="0"/>
        <w:keepLines w:val="0"/>
        <w:pageBreakBefore w:val="0"/>
        <w:widowControl w:val="0"/>
        <w:shd w:val="clear" w:color="auto" w:fill="auto"/>
        <w:tabs>
          <w:tab w:val="left" w:pos="0"/>
        </w:tabs>
        <w:kinsoku/>
        <w:wordWrap/>
        <w:topLinePunct w:val="0"/>
        <w:bidi w:val="0"/>
        <w:snapToGrid/>
        <w:spacing w:line="360" w:lineRule="auto"/>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Cs/>
          <w:color w:val="auto"/>
          <w:sz w:val="21"/>
          <w:szCs w:val="21"/>
          <w:highlight w:val="none"/>
        </w:rPr>
        <w:t>3.开标、评标</w:t>
      </w:r>
    </w:p>
    <w:p w14:paraId="1304C806">
      <w:pPr>
        <w:keepNext w:val="0"/>
        <w:keepLines w:val="0"/>
        <w:pageBreakBefore w:val="0"/>
        <w:widowControl w:val="0"/>
        <w:numPr>
          <w:ilvl w:val="1"/>
          <w:numId w:val="10"/>
        </w:numPr>
        <w:shd w:val="clear" w:color="auto" w:fill="auto"/>
        <w:tabs>
          <w:tab w:val="left" w:pos="0"/>
          <w:tab w:val="clear" w:pos="1277"/>
        </w:tabs>
        <w:kinsoku/>
        <w:wordWrap/>
        <w:topLinePunct w:val="0"/>
        <w:bidi w:val="0"/>
        <w:snapToGrid/>
        <w:spacing w:line="360" w:lineRule="auto"/>
        <w:ind w:left="0" w:firstLine="399" w:firstLineChars="19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按采购文件规定的时间、地点开启各投标人的投标文件。开标前，首先检查投标文件的密封情况，确认无误后开启投标文件（资格文件、商务技术文件）。 </w:t>
      </w:r>
    </w:p>
    <w:p w14:paraId="2971AC8A">
      <w:pPr>
        <w:keepNext w:val="0"/>
        <w:keepLines w:val="0"/>
        <w:pageBreakBefore w:val="0"/>
        <w:widowControl w:val="0"/>
        <w:numPr>
          <w:ilvl w:val="1"/>
          <w:numId w:val="10"/>
        </w:numPr>
        <w:shd w:val="clear" w:color="auto" w:fill="auto"/>
        <w:tabs>
          <w:tab w:val="left" w:pos="0"/>
          <w:tab w:val="clear" w:pos="1277"/>
        </w:tabs>
        <w:kinsoku/>
        <w:wordWrap/>
        <w:overflowPunct w:val="0"/>
        <w:topLinePunct w:val="0"/>
        <w:bidi w:val="0"/>
        <w:snapToGrid/>
        <w:spacing w:line="360" w:lineRule="auto"/>
        <w:ind w:left="0" w:firstLine="399" w:firstLineChars="19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投标文件的初审。初审分为资格性审查和符合性检查。</w:t>
      </w:r>
    </w:p>
    <w:p w14:paraId="39BD28E0">
      <w:pPr>
        <w:keepNext w:val="0"/>
        <w:keepLines w:val="0"/>
        <w:pageBreakBefore w:val="0"/>
        <w:widowControl w:val="0"/>
        <w:numPr>
          <w:ilvl w:val="0"/>
          <w:numId w:val="11"/>
        </w:numPr>
        <w:shd w:val="clear" w:color="auto" w:fill="auto"/>
        <w:kinsoku/>
        <w:wordWrap/>
        <w:overflowPunct w:val="0"/>
        <w:topLinePunct w:val="0"/>
        <w:bidi w:val="0"/>
        <w:snapToGrid/>
        <w:spacing w:line="360" w:lineRule="auto"/>
        <w:ind w:firstLine="399" w:firstLineChars="19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 资格性审查。</w:t>
      </w:r>
    </w:p>
    <w:p w14:paraId="470A03EC">
      <w:pPr>
        <w:pStyle w:val="63"/>
        <w:keepNext w:val="0"/>
        <w:keepLines w:val="0"/>
        <w:pageBreakBefore w:val="0"/>
        <w:widowControl w:val="0"/>
        <w:shd w:val="clear" w:color="auto" w:fill="auto"/>
        <w:tabs>
          <w:tab w:val="left" w:pos="425"/>
        </w:tabs>
        <w:kinsoku/>
        <w:wordWrap/>
        <w:overflowPunct w:val="0"/>
        <w:topLinePunct w:val="0"/>
        <w:bidi w:val="0"/>
        <w:snapToGrid/>
        <w:spacing w:line="360" w:lineRule="auto"/>
        <w:ind w:firstLine="399" w:firstLineChars="19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依据法律、法规和采购文件的规定，采购人授权评标委员会对各投标供应商进行资格审查，审查内容包括但不仅限于投标文件所提交证明材料是否能证明符合本项目对合格投标人的实质性要求。通过资格审查视作具备投标资格，审查不合格的投标文件将不进入后续详细评审。</w:t>
      </w:r>
    </w:p>
    <w:p w14:paraId="065CB438">
      <w:pPr>
        <w:keepNext w:val="0"/>
        <w:keepLines w:val="0"/>
        <w:pageBreakBefore w:val="0"/>
        <w:widowControl w:val="0"/>
        <w:shd w:val="clear" w:color="auto" w:fill="auto"/>
        <w:kinsoku/>
        <w:wordWrap/>
        <w:overflowPunct w:val="0"/>
        <w:topLinePunct w:val="0"/>
        <w:bidi w:val="0"/>
        <w:snapToGrid/>
        <w:spacing w:line="360" w:lineRule="auto"/>
        <w:ind w:firstLine="399" w:firstLineChars="19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w:t>
      </w:r>
      <w:r>
        <w:rPr>
          <w:rFonts w:hint="eastAsia" w:asciiTheme="minorEastAsia" w:hAnsiTheme="minorEastAsia" w:eastAsiaTheme="minorEastAsia" w:cstheme="minorEastAsia"/>
          <w:bCs/>
          <w:color w:val="auto"/>
          <w:sz w:val="21"/>
          <w:szCs w:val="21"/>
          <w:highlight w:val="none"/>
        </w:rPr>
        <w:tab/>
      </w:r>
      <w:r>
        <w:rPr>
          <w:rFonts w:hint="eastAsia" w:asciiTheme="minorEastAsia" w:hAnsiTheme="minorEastAsia" w:eastAsiaTheme="minorEastAsia" w:cstheme="minorEastAsia"/>
          <w:bCs/>
          <w:color w:val="auto"/>
          <w:sz w:val="21"/>
          <w:szCs w:val="21"/>
          <w:highlight w:val="none"/>
        </w:rPr>
        <w:t>符合性检查。</w:t>
      </w:r>
    </w:p>
    <w:p w14:paraId="3B435470">
      <w:pPr>
        <w:keepNext w:val="0"/>
        <w:keepLines w:val="0"/>
        <w:pageBreakBefore w:val="0"/>
        <w:widowControl w:val="0"/>
        <w:shd w:val="clear" w:color="auto" w:fill="auto"/>
        <w:kinsoku/>
        <w:wordWrap/>
        <w:overflowPunct w:val="0"/>
        <w:topLinePunct w:val="0"/>
        <w:bidi w:val="0"/>
        <w:snapToGrid/>
        <w:spacing w:line="360" w:lineRule="auto"/>
        <w:ind w:firstLine="399" w:firstLineChars="19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依据采购文件的规定，从投标文件中的有效性、完整性和对采购文件的响应程度进行审查。</w:t>
      </w:r>
    </w:p>
    <w:p w14:paraId="2E97ABF9">
      <w:pPr>
        <w:keepNext w:val="0"/>
        <w:keepLines w:val="0"/>
        <w:pageBreakBefore w:val="0"/>
        <w:widowControl w:val="0"/>
        <w:shd w:val="clear" w:color="auto" w:fill="auto"/>
        <w:kinsoku/>
        <w:wordWrap/>
        <w:overflowPunct w:val="0"/>
        <w:topLinePunct w:val="0"/>
        <w:bidi w:val="0"/>
        <w:snapToGrid/>
        <w:spacing w:line="360" w:lineRule="auto"/>
        <w:ind w:firstLine="399" w:firstLineChars="19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w:t>
      </w:r>
      <w:r>
        <w:rPr>
          <w:rFonts w:hint="eastAsia" w:asciiTheme="minorEastAsia" w:hAnsiTheme="minorEastAsia" w:eastAsiaTheme="minorEastAsia" w:cstheme="minorEastAsia"/>
          <w:b/>
          <w:bCs/>
          <w:color w:val="auto"/>
          <w:sz w:val="21"/>
          <w:szCs w:val="21"/>
          <w:highlight w:val="none"/>
        </w:rPr>
        <w:t xml:space="preserve"> </w:t>
      </w:r>
      <w:r>
        <w:rPr>
          <w:rFonts w:hint="eastAsia" w:asciiTheme="minorEastAsia" w:hAnsiTheme="minorEastAsia" w:eastAsiaTheme="minorEastAsia" w:cstheme="minorEastAsia"/>
          <w:b/>
          <w:color w:val="auto"/>
          <w:kern w:val="0"/>
          <w:sz w:val="21"/>
          <w:szCs w:val="21"/>
          <w:highlight w:val="none"/>
        </w:rPr>
        <w:t>▲</w:t>
      </w:r>
      <w:r>
        <w:rPr>
          <w:rFonts w:hint="eastAsia" w:asciiTheme="minorEastAsia" w:hAnsiTheme="minorEastAsia" w:eastAsiaTheme="minorEastAsia" w:cstheme="minorEastAsia"/>
          <w:b/>
          <w:bCs/>
          <w:color w:val="auto"/>
          <w:sz w:val="21"/>
          <w:szCs w:val="21"/>
          <w:highlight w:val="none"/>
          <w:u w:val="single"/>
        </w:rPr>
        <w:t>通过资格性审查与符合性审查的商务技术文件由评委进行综合评审，审查确认未通过的商务技术文件不予评审。</w:t>
      </w:r>
    </w:p>
    <w:p w14:paraId="319E0FE4">
      <w:pPr>
        <w:keepNext w:val="0"/>
        <w:keepLines w:val="0"/>
        <w:pageBreakBefore w:val="0"/>
        <w:widowControl w:val="0"/>
        <w:numPr>
          <w:ilvl w:val="1"/>
          <w:numId w:val="10"/>
        </w:numPr>
        <w:shd w:val="clear" w:color="auto" w:fill="auto"/>
        <w:tabs>
          <w:tab w:val="left" w:pos="0"/>
          <w:tab w:val="clear" w:pos="1277"/>
        </w:tabs>
        <w:kinsoku/>
        <w:wordWrap/>
        <w:topLinePunct w:val="0"/>
        <w:bidi w:val="0"/>
        <w:snapToGrid/>
        <w:spacing w:line="360" w:lineRule="auto"/>
        <w:ind w:left="0" w:firstLine="401" w:firstLineChars="190"/>
        <w:textAlignment w:val="auto"/>
        <w:rPr>
          <w:rFonts w:hint="eastAsia" w:asciiTheme="minorEastAsia" w:hAnsiTheme="minorEastAsia" w:eastAsiaTheme="minorEastAsia" w:cstheme="minorEastAsia"/>
          <w:b/>
          <w:bCs/>
          <w:color w:val="auto"/>
          <w:sz w:val="21"/>
          <w:szCs w:val="21"/>
          <w:highlight w:val="none"/>
          <w:u w:val="single"/>
        </w:rPr>
      </w:pP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 w:val="21"/>
          <w:szCs w:val="21"/>
          <w:highlight w:val="none"/>
          <w:u w:val="single"/>
        </w:rPr>
        <w:t>在对各投标人的投标文件进行综合评审时，投标文件有下列情况之一的，经评标委员会认定后按无效标处理：</w:t>
      </w:r>
    </w:p>
    <w:p w14:paraId="02C221D6">
      <w:pPr>
        <w:keepNext w:val="0"/>
        <w:keepLines w:val="0"/>
        <w:pageBreakBefore w:val="0"/>
        <w:widowControl w:val="0"/>
        <w:numPr>
          <w:ilvl w:val="0"/>
          <w:numId w:val="12"/>
        </w:numPr>
        <w:shd w:val="clear" w:color="auto" w:fill="auto"/>
        <w:tabs>
          <w:tab w:val="left" w:pos="0"/>
        </w:tabs>
        <w:kinsoku/>
        <w:wordWrap/>
        <w:topLinePunct w:val="0"/>
        <w:bidi w:val="0"/>
        <w:snapToGrid/>
        <w:spacing w:line="360" w:lineRule="auto"/>
        <w:ind w:firstLine="401" w:firstLineChars="190"/>
        <w:textAlignment w:val="auto"/>
        <w:rPr>
          <w:rFonts w:hint="eastAsia" w:asciiTheme="minorEastAsia" w:hAnsiTheme="minorEastAsia" w:eastAsiaTheme="minorEastAsia" w:cstheme="minorEastAsia"/>
          <w:b/>
          <w:color w:val="auto"/>
          <w:kern w:val="0"/>
          <w:sz w:val="21"/>
          <w:szCs w:val="21"/>
          <w:highlight w:val="none"/>
          <w:u w:val="single"/>
        </w:rPr>
      </w:pPr>
      <w:r>
        <w:rPr>
          <w:rFonts w:hint="eastAsia" w:asciiTheme="minorEastAsia" w:hAnsiTheme="minorEastAsia" w:eastAsiaTheme="minorEastAsia" w:cstheme="minorEastAsia"/>
          <w:b/>
          <w:color w:val="auto"/>
          <w:kern w:val="0"/>
          <w:sz w:val="21"/>
          <w:szCs w:val="21"/>
          <w:highlight w:val="none"/>
          <w:u w:val="single"/>
        </w:rPr>
        <w:t>投标文件中要求投标人加盖投标人公章的地方无投标人公章的；</w:t>
      </w:r>
    </w:p>
    <w:p w14:paraId="0424ECA9">
      <w:pPr>
        <w:keepNext w:val="0"/>
        <w:keepLines w:val="0"/>
        <w:pageBreakBefore w:val="0"/>
        <w:widowControl w:val="0"/>
        <w:numPr>
          <w:ilvl w:val="0"/>
          <w:numId w:val="12"/>
        </w:numPr>
        <w:shd w:val="clear" w:color="auto" w:fill="auto"/>
        <w:tabs>
          <w:tab w:val="left" w:pos="0"/>
        </w:tabs>
        <w:kinsoku/>
        <w:wordWrap/>
        <w:topLinePunct w:val="0"/>
        <w:bidi w:val="0"/>
        <w:snapToGrid/>
        <w:spacing w:line="360" w:lineRule="auto"/>
        <w:ind w:firstLine="401" w:firstLineChars="190"/>
        <w:textAlignment w:val="auto"/>
        <w:rPr>
          <w:rFonts w:hint="eastAsia" w:asciiTheme="minorEastAsia" w:hAnsiTheme="minorEastAsia" w:eastAsiaTheme="minorEastAsia" w:cstheme="minorEastAsia"/>
          <w:b/>
          <w:color w:val="auto"/>
          <w:kern w:val="0"/>
          <w:sz w:val="21"/>
          <w:szCs w:val="21"/>
          <w:highlight w:val="none"/>
          <w:u w:val="single"/>
        </w:rPr>
      </w:pPr>
      <w:r>
        <w:rPr>
          <w:rFonts w:hint="eastAsia" w:asciiTheme="minorEastAsia" w:hAnsiTheme="minorEastAsia" w:eastAsiaTheme="minorEastAsia" w:cstheme="minorEastAsia"/>
          <w:b/>
          <w:color w:val="auto"/>
          <w:kern w:val="0"/>
          <w:sz w:val="21"/>
          <w:szCs w:val="21"/>
          <w:highlight w:val="none"/>
          <w:u w:val="single"/>
        </w:rPr>
        <w:t>投标文件中要求投标人法定代表人或授权代表签字（或盖章）的地方无法定代表人签字或其授权代表签字（或盖章）的；</w:t>
      </w:r>
    </w:p>
    <w:p w14:paraId="5A5077B1">
      <w:pPr>
        <w:keepNext w:val="0"/>
        <w:keepLines w:val="0"/>
        <w:pageBreakBefore w:val="0"/>
        <w:widowControl w:val="0"/>
        <w:numPr>
          <w:ilvl w:val="0"/>
          <w:numId w:val="12"/>
        </w:numPr>
        <w:shd w:val="clear" w:color="auto" w:fill="auto"/>
        <w:tabs>
          <w:tab w:val="left" w:pos="0"/>
        </w:tabs>
        <w:kinsoku/>
        <w:wordWrap/>
        <w:topLinePunct w:val="0"/>
        <w:bidi w:val="0"/>
        <w:snapToGrid/>
        <w:spacing w:line="360" w:lineRule="auto"/>
        <w:ind w:firstLine="401" w:firstLineChars="190"/>
        <w:textAlignment w:val="auto"/>
        <w:rPr>
          <w:rFonts w:hint="eastAsia" w:asciiTheme="minorEastAsia" w:hAnsiTheme="minorEastAsia" w:eastAsiaTheme="minorEastAsia" w:cstheme="minorEastAsia"/>
          <w:b/>
          <w:color w:val="auto"/>
          <w:kern w:val="0"/>
          <w:sz w:val="21"/>
          <w:szCs w:val="21"/>
          <w:highlight w:val="none"/>
          <w:u w:val="single"/>
        </w:rPr>
      </w:pPr>
      <w:r>
        <w:rPr>
          <w:rFonts w:hint="eastAsia" w:asciiTheme="minorEastAsia" w:hAnsiTheme="minorEastAsia" w:eastAsiaTheme="minorEastAsia" w:cstheme="minorEastAsia"/>
          <w:b/>
          <w:color w:val="auto"/>
          <w:kern w:val="0"/>
          <w:sz w:val="21"/>
          <w:szCs w:val="21"/>
          <w:highlight w:val="none"/>
          <w:u w:val="single"/>
        </w:rPr>
        <w:t>不具备采购文件中规定的资格要求的；</w:t>
      </w:r>
    </w:p>
    <w:p w14:paraId="2D57C7DC">
      <w:pPr>
        <w:keepNext w:val="0"/>
        <w:keepLines w:val="0"/>
        <w:pageBreakBefore w:val="0"/>
        <w:widowControl w:val="0"/>
        <w:numPr>
          <w:ilvl w:val="0"/>
          <w:numId w:val="12"/>
        </w:numPr>
        <w:shd w:val="clear" w:color="auto" w:fill="auto"/>
        <w:tabs>
          <w:tab w:val="left" w:pos="0"/>
        </w:tabs>
        <w:kinsoku/>
        <w:wordWrap/>
        <w:topLinePunct w:val="0"/>
        <w:bidi w:val="0"/>
        <w:snapToGrid/>
        <w:spacing w:line="360" w:lineRule="auto"/>
        <w:ind w:firstLine="401" w:firstLineChars="190"/>
        <w:textAlignment w:val="auto"/>
        <w:rPr>
          <w:rFonts w:hint="eastAsia" w:asciiTheme="minorEastAsia" w:hAnsiTheme="minorEastAsia" w:eastAsiaTheme="minorEastAsia" w:cstheme="minorEastAsia"/>
          <w:b/>
          <w:color w:val="auto"/>
          <w:kern w:val="0"/>
          <w:sz w:val="21"/>
          <w:szCs w:val="21"/>
          <w:highlight w:val="none"/>
          <w:u w:val="single"/>
        </w:rPr>
      </w:pPr>
      <w:r>
        <w:rPr>
          <w:rFonts w:hint="eastAsia" w:asciiTheme="minorEastAsia" w:hAnsiTheme="minorEastAsia" w:eastAsiaTheme="minorEastAsia" w:cstheme="minorEastAsia"/>
          <w:b/>
          <w:color w:val="auto"/>
          <w:kern w:val="0"/>
          <w:sz w:val="21"/>
          <w:szCs w:val="21"/>
          <w:highlight w:val="none"/>
          <w:u w:val="single"/>
        </w:rPr>
        <w:t>报价超过采购文件中规定的预算金额或者最高限价的；</w:t>
      </w:r>
    </w:p>
    <w:p w14:paraId="4C18C99F">
      <w:pPr>
        <w:keepNext w:val="0"/>
        <w:keepLines w:val="0"/>
        <w:pageBreakBefore w:val="0"/>
        <w:widowControl w:val="0"/>
        <w:numPr>
          <w:ilvl w:val="0"/>
          <w:numId w:val="12"/>
        </w:numPr>
        <w:shd w:val="clear" w:color="auto" w:fill="auto"/>
        <w:tabs>
          <w:tab w:val="left" w:pos="0"/>
        </w:tabs>
        <w:kinsoku/>
        <w:wordWrap/>
        <w:topLinePunct w:val="0"/>
        <w:bidi w:val="0"/>
        <w:snapToGrid/>
        <w:spacing w:line="360" w:lineRule="auto"/>
        <w:ind w:firstLine="401" w:firstLineChars="190"/>
        <w:textAlignment w:val="auto"/>
        <w:rPr>
          <w:rFonts w:hint="eastAsia" w:asciiTheme="minorEastAsia" w:hAnsiTheme="minorEastAsia" w:eastAsiaTheme="minorEastAsia" w:cstheme="minorEastAsia"/>
          <w:b/>
          <w:color w:val="auto"/>
          <w:kern w:val="0"/>
          <w:sz w:val="21"/>
          <w:szCs w:val="21"/>
          <w:highlight w:val="none"/>
          <w:u w:val="single"/>
        </w:rPr>
      </w:pPr>
      <w:r>
        <w:rPr>
          <w:rFonts w:hint="eastAsia" w:asciiTheme="minorEastAsia" w:hAnsiTheme="minorEastAsia" w:eastAsiaTheme="minorEastAsia" w:cstheme="minorEastAsia"/>
          <w:b/>
          <w:color w:val="auto"/>
          <w:kern w:val="0"/>
          <w:sz w:val="21"/>
          <w:szCs w:val="21"/>
          <w:highlight w:val="none"/>
          <w:u w:val="single"/>
        </w:rPr>
        <w:t>投标文件含有采购人不能接受的附加条件的；</w:t>
      </w:r>
    </w:p>
    <w:p w14:paraId="06E6169F">
      <w:pPr>
        <w:keepNext w:val="0"/>
        <w:keepLines w:val="0"/>
        <w:pageBreakBefore w:val="0"/>
        <w:widowControl w:val="0"/>
        <w:numPr>
          <w:ilvl w:val="0"/>
          <w:numId w:val="12"/>
        </w:numPr>
        <w:shd w:val="clear" w:color="auto" w:fill="auto"/>
        <w:tabs>
          <w:tab w:val="left" w:pos="0"/>
        </w:tabs>
        <w:kinsoku/>
        <w:wordWrap/>
        <w:topLinePunct w:val="0"/>
        <w:bidi w:val="0"/>
        <w:snapToGrid/>
        <w:spacing w:line="360" w:lineRule="auto"/>
        <w:ind w:firstLine="401" w:firstLineChars="190"/>
        <w:textAlignment w:val="auto"/>
        <w:rPr>
          <w:rFonts w:hint="eastAsia" w:asciiTheme="minorEastAsia" w:hAnsiTheme="minorEastAsia" w:eastAsiaTheme="minorEastAsia" w:cstheme="minorEastAsia"/>
          <w:b/>
          <w:color w:val="auto"/>
          <w:kern w:val="0"/>
          <w:sz w:val="21"/>
          <w:szCs w:val="21"/>
          <w:highlight w:val="none"/>
          <w:u w:val="single"/>
        </w:rPr>
      </w:pPr>
      <w:r>
        <w:rPr>
          <w:rFonts w:hint="eastAsia" w:asciiTheme="minorEastAsia" w:hAnsiTheme="minorEastAsia" w:eastAsiaTheme="minorEastAsia" w:cstheme="minorEastAsia"/>
          <w:b/>
          <w:color w:val="auto"/>
          <w:kern w:val="0"/>
          <w:sz w:val="21"/>
          <w:szCs w:val="21"/>
          <w:highlight w:val="none"/>
          <w:u w:val="single"/>
        </w:rPr>
        <w:t>经评标委员会认定投标人串通投标的；</w:t>
      </w:r>
    </w:p>
    <w:p w14:paraId="652DC034">
      <w:pPr>
        <w:keepNext w:val="0"/>
        <w:keepLines w:val="0"/>
        <w:pageBreakBefore w:val="0"/>
        <w:widowControl w:val="0"/>
        <w:numPr>
          <w:ilvl w:val="0"/>
          <w:numId w:val="12"/>
        </w:numPr>
        <w:shd w:val="clear" w:color="auto" w:fill="auto"/>
        <w:tabs>
          <w:tab w:val="left" w:pos="0"/>
        </w:tabs>
        <w:kinsoku/>
        <w:wordWrap/>
        <w:topLinePunct w:val="0"/>
        <w:bidi w:val="0"/>
        <w:snapToGrid/>
        <w:spacing w:line="360" w:lineRule="auto"/>
        <w:ind w:firstLine="401" w:firstLineChars="190"/>
        <w:textAlignment w:val="auto"/>
        <w:rPr>
          <w:rFonts w:hint="eastAsia" w:asciiTheme="minorEastAsia" w:hAnsiTheme="minorEastAsia" w:eastAsiaTheme="minorEastAsia" w:cstheme="minorEastAsia"/>
          <w:b/>
          <w:color w:val="auto"/>
          <w:kern w:val="0"/>
          <w:sz w:val="21"/>
          <w:szCs w:val="21"/>
          <w:highlight w:val="none"/>
          <w:u w:val="single"/>
        </w:rPr>
      </w:pPr>
      <w:r>
        <w:rPr>
          <w:rFonts w:hint="eastAsia" w:asciiTheme="minorEastAsia" w:hAnsiTheme="minorEastAsia" w:eastAsiaTheme="minorEastAsia" w:cstheme="minorEastAsia"/>
          <w:b/>
          <w:color w:val="auto"/>
          <w:kern w:val="0"/>
          <w:sz w:val="21"/>
          <w:szCs w:val="21"/>
          <w:highlight w:val="none"/>
          <w:u w:val="single"/>
        </w:rPr>
        <w:t>同时出现两种及以上不一致价格且修正后投标人不确认报价的；</w:t>
      </w:r>
    </w:p>
    <w:p w14:paraId="53A872C0">
      <w:pPr>
        <w:keepNext w:val="0"/>
        <w:keepLines w:val="0"/>
        <w:pageBreakBefore w:val="0"/>
        <w:widowControl w:val="0"/>
        <w:numPr>
          <w:ilvl w:val="0"/>
          <w:numId w:val="12"/>
        </w:numPr>
        <w:shd w:val="clear" w:color="auto" w:fill="auto"/>
        <w:tabs>
          <w:tab w:val="left" w:pos="0"/>
        </w:tabs>
        <w:kinsoku/>
        <w:wordWrap/>
        <w:topLinePunct w:val="0"/>
        <w:bidi w:val="0"/>
        <w:snapToGrid/>
        <w:spacing w:line="360" w:lineRule="auto"/>
        <w:ind w:firstLine="401" w:firstLineChars="190"/>
        <w:textAlignment w:val="auto"/>
        <w:rPr>
          <w:rFonts w:hint="eastAsia" w:asciiTheme="minorEastAsia" w:hAnsiTheme="minorEastAsia" w:eastAsiaTheme="minorEastAsia" w:cstheme="minorEastAsia"/>
          <w:b/>
          <w:color w:val="auto"/>
          <w:kern w:val="0"/>
          <w:sz w:val="21"/>
          <w:szCs w:val="21"/>
          <w:highlight w:val="none"/>
          <w:u w:val="single"/>
        </w:rPr>
      </w:pPr>
      <w:r>
        <w:rPr>
          <w:rFonts w:hint="eastAsia" w:asciiTheme="minorEastAsia" w:hAnsiTheme="minorEastAsia" w:eastAsiaTheme="minorEastAsia" w:cstheme="minorEastAsia"/>
          <w:b/>
          <w:color w:val="auto"/>
          <w:kern w:val="0"/>
          <w:sz w:val="21"/>
          <w:szCs w:val="21"/>
          <w:highlight w:val="none"/>
          <w:u w:val="single"/>
        </w:rPr>
        <w:t>报价明显低于其他通过符合性审查投标人的报价，且在评标现场合理的时间内不能证明其报价合理性的；</w:t>
      </w:r>
    </w:p>
    <w:p w14:paraId="14F21D5C">
      <w:pPr>
        <w:keepNext w:val="0"/>
        <w:keepLines w:val="0"/>
        <w:pageBreakBefore w:val="0"/>
        <w:widowControl w:val="0"/>
        <w:numPr>
          <w:ilvl w:val="0"/>
          <w:numId w:val="12"/>
        </w:numPr>
        <w:shd w:val="clear" w:color="auto" w:fill="auto"/>
        <w:tabs>
          <w:tab w:val="left" w:pos="0"/>
        </w:tabs>
        <w:kinsoku/>
        <w:wordWrap/>
        <w:topLinePunct w:val="0"/>
        <w:bidi w:val="0"/>
        <w:snapToGrid/>
        <w:spacing w:line="360" w:lineRule="auto"/>
        <w:ind w:firstLine="401" w:firstLineChars="190"/>
        <w:textAlignment w:val="auto"/>
        <w:rPr>
          <w:rFonts w:hint="eastAsia" w:asciiTheme="minorEastAsia" w:hAnsiTheme="minorEastAsia" w:eastAsiaTheme="minorEastAsia" w:cstheme="minorEastAsia"/>
          <w:b/>
          <w:color w:val="auto"/>
          <w:kern w:val="0"/>
          <w:sz w:val="21"/>
          <w:szCs w:val="21"/>
          <w:highlight w:val="none"/>
          <w:u w:val="single"/>
        </w:rPr>
      </w:pPr>
      <w:r>
        <w:rPr>
          <w:rFonts w:hint="eastAsia" w:asciiTheme="minorEastAsia" w:hAnsiTheme="minorEastAsia" w:eastAsiaTheme="minorEastAsia" w:cstheme="minorEastAsia"/>
          <w:b/>
          <w:color w:val="auto"/>
          <w:sz w:val="21"/>
          <w:szCs w:val="21"/>
          <w:highlight w:val="none"/>
          <w:u w:val="single"/>
        </w:rPr>
        <w:t>在资格文件或商务技术文件中出现投标报价的；</w:t>
      </w:r>
    </w:p>
    <w:p w14:paraId="6E36D9ED">
      <w:pPr>
        <w:keepNext w:val="0"/>
        <w:keepLines w:val="0"/>
        <w:pageBreakBefore w:val="0"/>
        <w:widowControl w:val="0"/>
        <w:numPr>
          <w:ilvl w:val="0"/>
          <w:numId w:val="12"/>
        </w:numPr>
        <w:shd w:val="clear" w:color="auto" w:fill="auto"/>
        <w:tabs>
          <w:tab w:val="left" w:pos="0"/>
        </w:tabs>
        <w:kinsoku/>
        <w:wordWrap/>
        <w:topLinePunct w:val="0"/>
        <w:bidi w:val="0"/>
        <w:snapToGrid/>
        <w:spacing w:line="360" w:lineRule="auto"/>
        <w:ind w:firstLine="401" w:firstLineChars="190"/>
        <w:textAlignment w:val="auto"/>
        <w:rPr>
          <w:rFonts w:hint="eastAsia" w:asciiTheme="minorEastAsia" w:hAnsiTheme="minorEastAsia" w:eastAsiaTheme="minorEastAsia" w:cstheme="minorEastAsia"/>
          <w:b/>
          <w:color w:val="auto"/>
          <w:kern w:val="0"/>
          <w:sz w:val="21"/>
          <w:szCs w:val="21"/>
          <w:highlight w:val="none"/>
          <w:u w:val="single"/>
        </w:rPr>
      </w:pPr>
      <w:r>
        <w:rPr>
          <w:rFonts w:hint="eastAsia" w:asciiTheme="minorEastAsia" w:hAnsiTheme="minorEastAsia" w:eastAsiaTheme="minorEastAsia" w:cstheme="minorEastAsia"/>
          <w:b/>
          <w:bCs/>
          <w:color w:val="auto"/>
          <w:kern w:val="0"/>
          <w:sz w:val="21"/>
          <w:szCs w:val="21"/>
          <w:highlight w:val="none"/>
          <w:u w:val="single"/>
        </w:rPr>
        <w:t>授权代表</w:t>
      </w:r>
      <w:r>
        <w:rPr>
          <w:rFonts w:hint="eastAsia" w:asciiTheme="minorEastAsia" w:hAnsiTheme="minorEastAsia" w:eastAsiaTheme="minorEastAsia" w:cstheme="minorEastAsia"/>
          <w:b/>
          <w:color w:val="auto"/>
          <w:kern w:val="0"/>
          <w:sz w:val="21"/>
          <w:szCs w:val="21"/>
          <w:highlight w:val="none"/>
          <w:u w:val="single"/>
        </w:rPr>
        <w:t>无法定代表人合法、有效委托的；</w:t>
      </w:r>
    </w:p>
    <w:p w14:paraId="6F3505E2">
      <w:pPr>
        <w:keepNext w:val="0"/>
        <w:keepLines w:val="0"/>
        <w:pageBreakBefore w:val="0"/>
        <w:widowControl w:val="0"/>
        <w:numPr>
          <w:ilvl w:val="0"/>
          <w:numId w:val="12"/>
        </w:numPr>
        <w:shd w:val="clear" w:color="auto" w:fill="auto"/>
        <w:tabs>
          <w:tab w:val="left" w:pos="0"/>
        </w:tabs>
        <w:kinsoku/>
        <w:wordWrap/>
        <w:topLinePunct w:val="0"/>
        <w:bidi w:val="0"/>
        <w:snapToGrid/>
        <w:spacing w:line="360" w:lineRule="auto"/>
        <w:ind w:firstLine="401" w:firstLineChars="190"/>
        <w:textAlignment w:val="auto"/>
        <w:rPr>
          <w:rFonts w:hint="eastAsia" w:asciiTheme="minorEastAsia" w:hAnsiTheme="minorEastAsia" w:eastAsiaTheme="minorEastAsia" w:cstheme="minorEastAsia"/>
          <w:b/>
          <w:color w:val="auto"/>
          <w:kern w:val="0"/>
          <w:sz w:val="21"/>
          <w:szCs w:val="21"/>
          <w:highlight w:val="none"/>
          <w:u w:val="single"/>
        </w:rPr>
      </w:pPr>
      <w:r>
        <w:rPr>
          <w:rFonts w:hint="eastAsia" w:asciiTheme="minorEastAsia" w:hAnsiTheme="minorEastAsia" w:eastAsiaTheme="minorEastAsia" w:cstheme="minorEastAsia"/>
          <w:b/>
          <w:color w:val="auto"/>
          <w:sz w:val="21"/>
          <w:szCs w:val="21"/>
          <w:highlight w:val="none"/>
          <w:u w:val="single"/>
        </w:rPr>
        <w:t>提供了虚假文件资料，有弄虚作假行为的；</w:t>
      </w:r>
    </w:p>
    <w:p w14:paraId="2C8CEBFF">
      <w:pPr>
        <w:keepNext w:val="0"/>
        <w:keepLines w:val="0"/>
        <w:pageBreakBefore w:val="0"/>
        <w:widowControl w:val="0"/>
        <w:numPr>
          <w:ilvl w:val="0"/>
          <w:numId w:val="12"/>
        </w:numPr>
        <w:shd w:val="clear" w:color="auto" w:fill="auto"/>
        <w:tabs>
          <w:tab w:val="left" w:pos="0"/>
        </w:tabs>
        <w:kinsoku/>
        <w:wordWrap/>
        <w:topLinePunct w:val="0"/>
        <w:bidi w:val="0"/>
        <w:snapToGrid/>
        <w:spacing w:line="360" w:lineRule="auto"/>
        <w:ind w:firstLine="401" w:firstLineChars="190"/>
        <w:textAlignment w:val="auto"/>
        <w:rPr>
          <w:rFonts w:hint="eastAsia" w:asciiTheme="minorEastAsia" w:hAnsiTheme="minorEastAsia" w:eastAsiaTheme="minorEastAsia" w:cstheme="minorEastAsia"/>
          <w:b/>
          <w:color w:val="auto"/>
          <w:kern w:val="0"/>
          <w:sz w:val="21"/>
          <w:szCs w:val="21"/>
          <w:highlight w:val="none"/>
          <w:u w:val="single"/>
        </w:rPr>
      </w:pPr>
      <w:r>
        <w:rPr>
          <w:rFonts w:hint="eastAsia" w:asciiTheme="minorEastAsia" w:hAnsiTheme="minorEastAsia" w:eastAsiaTheme="minorEastAsia" w:cstheme="minorEastAsia"/>
          <w:b/>
          <w:color w:val="auto"/>
          <w:sz w:val="21"/>
          <w:szCs w:val="21"/>
          <w:highlight w:val="none"/>
          <w:u w:val="single"/>
        </w:rPr>
        <w:t>投标文件为活页形式，未装订成册的；</w:t>
      </w:r>
    </w:p>
    <w:p w14:paraId="6AA044C5">
      <w:pPr>
        <w:keepNext w:val="0"/>
        <w:keepLines w:val="0"/>
        <w:pageBreakBefore w:val="0"/>
        <w:widowControl w:val="0"/>
        <w:numPr>
          <w:ilvl w:val="0"/>
          <w:numId w:val="12"/>
        </w:numPr>
        <w:shd w:val="clear" w:color="auto" w:fill="auto"/>
        <w:tabs>
          <w:tab w:val="left" w:pos="0"/>
        </w:tabs>
        <w:kinsoku/>
        <w:wordWrap/>
        <w:topLinePunct w:val="0"/>
        <w:bidi w:val="0"/>
        <w:snapToGrid/>
        <w:spacing w:line="360" w:lineRule="auto"/>
        <w:ind w:firstLine="401" w:firstLineChars="190"/>
        <w:textAlignment w:val="auto"/>
        <w:rPr>
          <w:rFonts w:hint="eastAsia" w:asciiTheme="minorEastAsia" w:hAnsiTheme="minorEastAsia" w:eastAsiaTheme="minorEastAsia" w:cstheme="minorEastAsia"/>
          <w:b/>
          <w:color w:val="auto"/>
          <w:kern w:val="0"/>
          <w:sz w:val="21"/>
          <w:szCs w:val="21"/>
          <w:highlight w:val="none"/>
          <w:u w:val="single"/>
        </w:rPr>
      </w:pPr>
      <w:r>
        <w:rPr>
          <w:rFonts w:hint="eastAsia" w:asciiTheme="minorEastAsia" w:hAnsiTheme="minorEastAsia" w:eastAsiaTheme="minorEastAsia" w:cstheme="minorEastAsia"/>
          <w:b/>
          <w:color w:val="auto"/>
          <w:kern w:val="0"/>
          <w:sz w:val="21"/>
          <w:szCs w:val="21"/>
          <w:highlight w:val="none"/>
          <w:u w:val="single"/>
        </w:rPr>
        <w:t>评标委员会认定不符合法律、法规和采购文件中规定的其他实质性要求的。</w:t>
      </w:r>
    </w:p>
    <w:p w14:paraId="3C15343B">
      <w:pPr>
        <w:keepNext w:val="0"/>
        <w:keepLines w:val="0"/>
        <w:pageBreakBefore w:val="0"/>
        <w:widowControl w:val="0"/>
        <w:numPr>
          <w:ilvl w:val="1"/>
          <w:numId w:val="10"/>
        </w:numPr>
        <w:shd w:val="clear" w:color="auto" w:fill="auto"/>
        <w:tabs>
          <w:tab w:val="left" w:pos="0"/>
          <w:tab w:val="clear" w:pos="1277"/>
        </w:tabs>
        <w:kinsoku/>
        <w:wordWrap/>
        <w:topLinePunct w:val="0"/>
        <w:bidi w:val="0"/>
        <w:snapToGrid/>
        <w:spacing w:line="360" w:lineRule="auto"/>
        <w:ind w:left="0" w:firstLine="401" w:firstLineChars="190"/>
        <w:textAlignment w:val="auto"/>
        <w:rPr>
          <w:rFonts w:hint="eastAsia" w:asciiTheme="minorEastAsia" w:hAnsiTheme="minorEastAsia" w:eastAsiaTheme="minorEastAsia" w:cstheme="minorEastAsia"/>
          <w:b/>
          <w:bCs/>
          <w:color w:val="auto"/>
          <w:sz w:val="21"/>
          <w:szCs w:val="21"/>
          <w:highlight w:val="none"/>
          <w:u w:val="single"/>
        </w:rPr>
      </w:pPr>
      <w:r>
        <w:rPr>
          <w:rFonts w:hint="eastAsia" w:asciiTheme="minorEastAsia" w:hAnsiTheme="minorEastAsia" w:eastAsiaTheme="minorEastAsia" w:cstheme="minorEastAsia"/>
          <w:b/>
          <w:bCs/>
          <w:color w:val="auto"/>
          <w:sz w:val="21"/>
          <w:szCs w:val="21"/>
          <w:highlight w:val="none"/>
          <w:u w:val="single"/>
        </w:rPr>
        <w:t>▲有下列情形之一的，视为投标人串通投标，其投标无效：</w:t>
      </w:r>
    </w:p>
    <w:p w14:paraId="5CB2E864">
      <w:pPr>
        <w:pStyle w:val="63"/>
        <w:keepNext w:val="0"/>
        <w:keepLines w:val="0"/>
        <w:pageBreakBefore w:val="0"/>
        <w:widowControl w:val="0"/>
        <w:numPr>
          <w:ilvl w:val="0"/>
          <w:numId w:val="13"/>
        </w:numPr>
        <w:shd w:val="clear" w:color="auto" w:fill="auto"/>
        <w:kinsoku/>
        <w:wordWrap/>
        <w:topLinePunct w:val="0"/>
        <w:bidi w:val="0"/>
        <w:snapToGrid/>
        <w:spacing w:line="360" w:lineRule="auto"/>
        <w:ind w:firstLineChars="190"/>
        <w:textAlignment w:val="auto"/>
        <w:rPr>
          <w:rFonts w:hint="eastAsia" w:asciiTheme="minorEastAsia" w:hAnsiTheme="minorEastAsia" w:eastAsiaTheme="minorEastAsia" w:cstheme="minorEastAsia"/>
          <w:b/>
          <w:color w:val="auto"/>
          <w:kern w:val="0"/>
          <w:sz w:val="21"/>
          <w:szCs w:val="21"/>
          <w:highlight w:val="none"/>
          <w:u w:val="single"/>
        </w:rPr>
      </w:pPr>
      <w:r>
        <w:rPr>
          <w:rFonts w:hint="eastAsia" w:asciiTheme="minorEastAsia" w:hAnsiTheme="minorEastAsia" w:eastAsiaTheme="minorEastAsia" w:cstheme="minorEastAsia"/>
          <w:b/>
          <w:color w:val="auto"/>
          <w:kern w:val="0"/>
          <w:sz w:val="21"/>
          <w:szCs w:val="21"/>
          <w:highlight w:val="none"/>
          <w:u w:val="single"/>
        </w:rPr>
        <w:t>不同投标人的投标文件由同一单位或者个人编制；</w:t>
      </w:r>
    </w:p>
    <w:p w14:paraId="6DB8F02C">
      <w:pPr>
        <w:pStyle w:val="63"/>
        <w:keepNext w:val="0"/>
        <w:keepLines w:val="0"/>
        <w:pageBreakBefore w:val="0"/>
        <w:widowControl w:val="0"/>
        <w:numPr>
          <w:ilvl w:val="0"/>
          <w:numId w:val="13"/>
        </w:numPr>
        <w:shd w:val="clear" w:color="auto" w:fill="auto"/>
        <w:kinsoku/>
        <w:wordWrap/>
        <w:topLinePunct w:val="0"/>
        <w:bidi w:val="0"/>
        <w:snapToGrid/>
        <w:spacing w:line="360" w:lineRule="auto"/>
        <w:ind w:firstLineChars="190"/>
        <w:textAlignment w:val="auto"/>
        <w:rPr>
          <w:rFonts w:hint="eastAsia" w:asciiTheme="minorEastAsia" w:hAnsiTheme="minorEastAsia" w:eastAsiaTheme="minorEastAsia" w:cstheme="minorEastAsia"/>
          <w:b/>
          <w:color w:val="auto"/>
          <w:kern w:val="0"/>
          <w:sz w:val="21"/>
          <w:szCs w:val="21"/>
          <w:highlight w:val="none"/>
          <w:u w:val="single"/>
        </w:rPr>
      </w:pPr>
      <w:r>
        <w:rPr>
          <w:rFonts w:hint="eastAsia" w:asciiTheme="minorEastAsia" w:hAnsiTheme="minorEastAsia" w:eastAsiaTheme="minorEastAsia" w:cstheme="minorEastAsia"/>
          <w:b/>
          <w:color w:val="auto"/>
          <w:kern w:val="0"/>
          <w:sz w:val="21"/>
          <w:szCs w:val="21"/>
          <w:highlight w:val="none"/>
          <w:u w:val="single"/>
        </w:rPr>
        <w:t>不同投标人委托同一单位或者个人办理投标事宜；</w:t>
      </w:r>
    </w:p>
    <w:p w14:paraId="0A13692D">
      <w:pPr>
        <w:pStyle w:val="63"/>
        <w:keepNext w:val="0"/>
        <w:keepLines w:val="0"/>
        <w:pageBreakBefore w:val="0"/>
        <w:widowControl w:val="0"/>
        <w:numPr>
          <w:ilvl w:val="0"/>
          <w:numId w:val="13"/>
        </w:numPr>
        <w:shd w:val="clear" w:color="auto" w:fill="auto"/>
        <w:kinsoku/>
        <w:wordWrap/>
        <w:topLinePunct w:val="0"/>
        <w:bidi w:val="0"/>
        <w:snapToGrid/>
        <w:spacing w:line="360" w:lineRule="auto"/>
        <w:ind w:firstLineChars="190"/>
        <w:textAlignment w:val="auto"/>
        <w:rPr>
          <w:rFonts w:hint="eastAsia" w:asciiTheme="minorEastAsia" w:hAnsiTheme="minorEastAsia" w:eastAsiaTheme="minorEastAsia" w:cstheme="minorEastAsia"/>
          <w:b/>
          <w:color w:val="auto"/>
          <w:kern w:val="0"/>
          <w:sz w:val="21"/>
          <w:szCs w:val="21"/>
          <w:highlight w:val="none"/>
          <w:u w:val="single"/>
        </w:rPr>
      </w:pPr>
      <w:r>
        <w:rPr>
          <w:rFonts w:hint="eastAsia" w:asciiTheme="minorEastAsia" w:hAnsiTheme="minorEastAsia" w:eastAsiaTheme="minorEastAsia" w:cstheme="minorEastAsia"/>
          <w:b/>
          <w:color w:val="auto"/>
          <w:kern w:val="0"/>
          <w:sz w:val="21"/>
          <w:szCs w:val="21"/>
          <w:highlight w:val="none"/>
          <w:u w:val="single"/>
        </w:rPr>
        <w:t>不同投标人的投标文件载明的项目管理成员或者联系人员为同一人；</w:t>
      </w:r>
    </w:p>
    <w:p w14:paraId="25472121">
      <w:pPr>
        <w:pStyle w:val="63"/>
        <w:keepNext w:val="0"/>
        <w:keepLines w:val="0"/>
        <w:pageBreakBefore w:val="0"/>
        <w:widowControl w:val="0"/>
        <w:numPr>
          <w:ilvl w:val="0"/>
          <w:numId w:val="13"/>
        </w:numPr>
        <w:shd w:val="clear" w:color="auto" w:fill="auto"/>
        <w:kinsoku/>
        <w:wordWrap/>
        <w:topLinePunct w:val="0"/>
        <w:bidi w:val="0"/>
        <w:snapToGrid/>
        <w:spacing w:line="360" w:lineRule="auto"/>
        <w:ind w:firstLineChars="190"/>
        <w:textAlignment w:val="auto"/>
        <w:rPr>
          <w:rFonts w:hint="eastAsia" w:asciiTheme="minorEastAsia" w:hAnsiTheme="minorEastAsia" w:eastAsiaTheme="minorEastAsia" w:cstheme="minorEastAsia"/>
          <w:b/>
          <w:color w:val="auto"/>
          <w:kern w:val="0"/>
          <w:sz w:val="21"/>
          <w:szCs w:val="21"/>
          <w:highlight w:val="none"/>
          <w:u w:val="single"/>
        </w:rPr>
      </w:pPr>
      <w:r>
        <w:rPr>
          <w:rFonts w:hint="eastAsia" w:asciiTheme="minorEastAsia" w:hAnsiTheme="minorEastAsia" w:eastAsiaTheme="minorEastAsia" w:cstheme="minorEastAsia"/>
          <w:b/>
          <w:color w:val="auto"/>
          <w:kern w:val="0"/>
          <w:sz w:val="21"/>
          <w:szCs w:val="21"/>
          <w:highlight w:val="none"/>
          <w:u w:val="single"/>
        </w:rPr>
        <w:t>不同投标人的投标文件异常一致或者投标报价呈规律性差异；</w:t>
      </w:r>
    </w:p>
    <w:p w14:paraId="3A730FA4">
      <w:pPr>
        <w:pStyle w:val="63"/>
        <w:keepNext w:val="0"/>
        <w:keepLines w:val="0"/>
        <w:pageBreakBefore w:val="0"/>
        <w:widowControl w:val="0"/>
        <w:numPr>
          <w:ilvl w:val="0"/>
          <w:numId w:val="13"/>
        </w:numPr>
        <w:shd w:val="clear" w:color="auto" w:fill="auto"/>
        <w:kinsoku/>
        <w:wordWrap/>
        <w:topLinePunct w:val="0"/>
        <w:bidi w:val="0"/>
        <w:snapToGrid/>
        <w:spacing w:line="360" w:lineRule="auto"/>
        <w:ind w:firstLineChars="190"/>
        <w:textAlignment w:val="auto"/>
        <w:rPr>
          <w:rFonts w:hint="eastAsia" w:asciiTheme="minorEastAsia" w:hAnsiTheme="minorEastAsia" w:eastAsiaTheme="minorEastAsia" w:cstheme="minorEastAsia"/>
          <w:b/>
          <w:color w:val="auto"/>
          <w:kern w:val="0"/>
          <w:sz w:val="21"/>
          <w:szCs w:val="21"/>
          <w:highlight w:val="none"/>
          <w:u w:val="single"/>
        </w:rPr>
      </w:pPr>
      <w:r>
        <w:rPr>
          <w:rFonts w:hint="eastAsia" w:asciiTheme="minorEastAsia" w:hAnsiTheme="minorEastAsia" w:eastAsiaTheme="minorEastAsia" w:cstheme="minorEastAsia"/>
          <w:b/>
          <w:color w:val="auto"/>
          <w:kern w:val="0"/>
          <w:sz w:val="21"/>
          <w:szCs w:val="21"/>
          <w:highlight w:val="none"/>
          <w:u w:val="single"/>
        </w:rPr>
        <w:t>不同投标人的投标文件相互混装；</w:t>
      </w:r>
    </w:p>
    <w:p w14:paraId="49519C84">
      <w:pPr>
        <w:keepNext w:val="0"/>
        <w:keepLines w:val="0"/>
        <w:pageBreakBefore w:val="0"/>
        <w:widowControl w:val="0"/>
        <w:numPr>
          <w:ilvl w:val="1"/>
          <w:numId w:val="10"/>
        </w:numPr>
        <w:shd w:val="clear" w:color="auto" w:fill="auto"/>
        <w:tabs>
          <w:tab w:val="left" w:pos="0"/>
          <w:tab w:val="clear" w:pos="1277"/>
        </w:tabs>
        <w:kinsoku/>
        <w:wordWrap/>
        <w:topLinePunct w:val="0"/>
        <w:bidi w:val="0"/>
        <w:snapToGrid/>
        <w:spacing w:line="360" w:lineRule="auto"/>
        <w:ind w:left="0" w:firstLine="399" w:firstLineChars="19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开启报价文件</w:t>
      </w:r>
    </w:p>
    <w:p w14:paraId="376508D2">
      <w:pPr>
        <w:keepNext w:val="0"/>
        <w:keepLines w:val="0"/>
        <w:pageBreakBefore w:val="0"/>
        <w:widowControl w:val="0"/>
        <w:numPr>
          <w:ilvl w:val="0"/>
          <w:numId w:val="14"/>
        </w:numPr>
        <w:shd w:val="clear" w:color="auto" w:fill="auto"/>
        <w:tabs>
          <w:tab w:val="left" w:pos="0"/>
        </w:tabs>
        <w:kinsoku/>
        <w:wordWrap/>
        <w:topLinePunct w:val="0"/>
        <w:bidi w:val="0"/>
        <w:snapToGrid/>
        <w:spacing w:line="360" w:lineRule="auto"/>
        <w:ind w:firstLine="399" w:firstLineChars="19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开报价文件时邀请所有投标人代表参加，参加开标的代表应准时出席并签名报到以证明其出席。投标人代表未参加开标会的，事后不得对开标过程和开标结果提出异议。</w:t>
      </w:r>
    </w:p>
    <w:p w14:paraId="4A3B61B8">
      <w:pPr>
        <w:keepNext w:val="0"/>
        <w:keepLines w:val="0"/>
        <w:pageBreakBefore w:val="0"/>
        <w:widowControl w:val="0"/>
        <w:numPr>
          <w:ilvl w:val="0"/>
          <w:numId w:val="14"/>
        </w:numPr>
        <w:shd w:val="clear" w:color="auto" w:fill="auto"/>
        <w:tabs>
          <w:tab w:val="left" w:pos="0"/>
        </w:tabs>
        <w:kinsoku/>
        <w:wordWrap/>
        <w:topLinePunct w:val="0"/>
        <w:bidi w:val="0"/>
        <w:snapToGrid/>
        <w:spacing w:line="360" w:lineRule="auto"/>
        <w:ind w:firstLine="399" w:firstLineChars="19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宣布对各投标人有效身份证件、投标保证金等审查结果和商务技术得分情况。</w:t>
      </w:r>
    </w:p>
    <w:p w14:paraId="46C2F2DB">
      <w:pPr>
        <w:keepNext w:val="0"/>
        <w:keepLines w:val="0"/>
        <w:pageBreakBefore w:val="0"/>
        <w:widowControl w:val="0"/>
        <w:numPr>
          <w:ilvl w:val="0"/>
          <w:numId w:val="14"/>
        </w:numPr>
        <w:shd w:val="clear" w:color="auto" w:fill="auto"/>
        <w:tabs>
          <w:tab w:val="left" w:pos="0"/>
        </w:tabs>
        <w:kinsoku/>
        <w:wordWrap/>
        <w:topLinePunct w:val="0"/>
        <w:bidi w:val="0"/>
        <w:snapToGrid/>
        <w:spacing w:line="360" w:lineRule="auto"/>
        <w:ind w:firstLine="399" w:firstLineChars="19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检查有效投标人“报价文件”的密封情况，确认无误后开启“报价文件”，唱读“开标一览表”全部内容。唱读结束后，投标人代表应对唱读内容及记录结果当场进行校核和签字确认，如有异议应当场提出，否则视为默许同意。</w:t>
      </w:r>
    </w:p>
    <w:p w14:paraId="464FACC0">
      <w:pPr>
        <w:keepNext w:val="0"/>
        <w:keepLines w:val="0"/>
        <w:pageBreakBefore w:val="0"/>
        <w:widowControl w:val="0"/>
        <w:numPr>
          <w:ilvl w:val="0"/>
          <w:numId w:val="14"/>
        </w:numPr>
        <w:shd w:val="clear" w:color="auto" w:fill="auto"/>
        <w:tabs>
          <w:tab w:val="left" w:pos="0"/>
        </w:tabs>
        <w:kinsoku/>
        <w:wordWrap/>
        <w:topLinePunct w:val="0"/>
        <w:bidi w:val="0"/>
        <w:snapToGrid/>
        <w:spacing w:line="360" w:lineRule="auto"/>
        <w:ind w:firstLine="399" w:firstLineChars="19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开标时没有启封和宣读的投标文件，原封退回给投标人。</w:t>
      </w:r>
    </w:p>
    <w:p w14:paraId="06EA1C18">
      <w:pPr>
        <w:keepNext w:val="0"/>
        <w:keepLines w:val="0"/>
        <w:pageBreakBefore w:val="0"/>
        <w:widowControl w:val="0"/>
        <w:numPr>
          <w:ilvl w:val="0"/>
          <w:numId w:val="14"/>
        </w:numPr>
        <w:shd w:val="clear" w:color="auto" w:fill="auto"/>
        <w:tabs>
          <w:tab w:val="left" w:pos="0"/>
        </w:tabs>
        <w:kinsoku/>
        <w:wordWrap/>
        <w:topLinePunct w:val="0"/>
        <w:bidi w:val="0"/>
        <w:snapToGrid/>
        <w:spacing w:line="360" w:lineRule="auto"/>
        <w:ind w:firstLine="399" w:firstLineChars="19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开报价文件时，采购人指定专人作好记录，存档备查。</w:t>
      </w:r>
    </w:p>
    <w:p w14:paraId="4712C917">
      <w:pPr>
        <w:keepNext w:val="0"/>
        <w:keepLines w:val="0"/>
        <w:pageBreakBefore w:val="0"/>
        <w:widowControl w:val="0"/>
        <w:numPr>
          <w:ilvl w:val="1"/>
          <w:numId w:val="10"/>
        </w:numPr>
        <w:shd w:val="clear" w:color="auto" w:fill="auto"/>
        <w:tabs>
          <w:tab w:val="left" w:pos="0"/>
          <w:tab w:val="clear" w:pos="1277"/>
        </w:tabs>
        <w:kinsoku/>
        <w:wordWrap/>
        <w:topLinePunct w:val="0"/>
        <w:bidi w:val="0"/>
        <w:snapToGrid/>
        <w:spacing w:line="360" w:lineRule="auto"/>
        <w:ind w:left="0" w:firstLine="399" w:firstLineChars="19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“报价文件”开启后，由评标委员会对各投标人的商务报价进行核查，核查时发现投标报价内容不清楚可要求投标人书面澄清，计算上的错误，可按下面方法修正：</w:t>
      </w:r>
    </w:p>
    <w:p w14:paraId="25AB2CD3">
      <w:pPr>
        <w:keepNext w:val="0"/>
        <w:keepLines w:val="0"/>
        <w:pageBreakBefore w:val="0"/>
        <w:widowControl w:val="0"/>
        <w:numPr>
          <w:ilvl w:val="0"/>
          <w:numId w:val="15"/>
        </w:numPr>
        <w:shd w:val="clear" w:color="auto" w:fill="auto"/>
        <w:tabs>
          <w:tab w:val="left" w:pos="0"/>
        </w:tabs>
        <w:kinsoku/>
        <w:wordWrap/>
        <w:topLinePunct w:val="0"/>
        <w:bidi w:val="0"/>
        <w:snapToGrid/>
        <w:spacing w:line="360" w:lineRule="auto"/>
        <w:ind w:firstLine="399" w:firstLineChars="19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投标文件中开标一览表内容与投标文件中相应内容不一致的，以开标一览表为准；投标文件的大写金额和小写金额不一致的，以大写金额为准；单价金额小数点或者百分比有明显错位的，以开标一览表的总价为准，并修改单价；总价金额与按单价汇总金额不一致的，以单价金额计算结果为准。</w:t>
      </w:r>
    </w:p>
    <w:p w14:paraId="1FBB9CC6">
      <w:pPr>
        <w:keepNext w:val="0"/>
        <w:keepLines w:val="0"/>
        <w:pageBreakBefore w:val="0"/>
        <w:widowControl w:val="0"/>
        <w:shd w:val="clear" w:color="auto" w:fill="auto"/>
        <w:tabs>
          <w:tab w:val="left" w:pos="0"/>
        </w:tabs>
        <w:kinsoku/>
        <w:wordWrap/>
        <w:topLinePunct w:val="0"/>
        <w:bidi w:val="0"/>
        <w:snapToGrid/>
        <w:spacing w:line="360" w:lineRule="auto"/>
        <w:ind w:firstLine="401" w:firstLineChars="190"/>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（2）如果投标人不接受对其价格错误进行修正，其投标无效。</w:t>
      </w:r>
    </w:p>
    <w:p w14:paraId="4748748E">
      <w:pPr>
        <w:keepNext w:val="0"/>
        <w:keepLines w:val="0"/>
        <w:pageBreakBefore w:val="0"/>
        <w:widowControl w:val="0"/>
        <w:numPr>
          <w:ilvl w:val="1"/>
          <w:numId w:val="10"/>
        </w:numPr>
        <w:shd w:val="clear" w:color="auto" w:fill="auto"/>
        <w:tabs>
          <w:tab w:val="left" w:pos="0"/>
          <w:tab w:val="clear" w:pos="1277"/>
        </w:tabs>
        <w:kinsoku/>
        <w:wordWrap/>
        <w:topLinePunct w:val="0"/>
        <w:bidi w:val="0"/>
        <w:snapToGrid/>
        <w:spacing w:line="360" w:lineRule="auto"/>
        <w:ind w:left="0" w:firstLine="399" w:firstLineChars="19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在详细评标之前，评标委员会要审查每份投标文件是否实质上响应了采购文件的要求。实质上响应的投标应该是与采购文件要求的全部条款、条件和规格基本相符。没有重大偏离。</w:t>
      </w:r>
      <w:r>
        <w:rPr>
          <w:rFonts w:hint="eastAsia" w:asciiTheme="minorEastAsia" w:hAnsiTheme="minorEastAsia" w:eastAsiaTheme="minorEastAsia" w:cstheme="minorEastAsia"/>
          <w:b/>
          <w:bCs/>
          <w:color w:val="auto"/>
          <w:sz w:val="21"/>
          <w:szCs w:val="21"/>
          <w:highlight w:val="none"/>
        </w:rPr>
        <w:t>评标委员会决定投标的响应性只根据投标文件本身的内容，而不寻求外部的证据。</w:t>
      </w:r>
    </w:p>
    <w:p w14:paraId="3B17C6A5">
      <w:pPr>
        <w:keepNext w:val="0"/>
        <w:keepLines w:val="0"/>
        <w:pageBreakBefore w:val="0"/>
        <w:widowControl w:val="0"/>
        <w:numPr>
          <w:ilvl w:val="1"/>
          <w:numId w:val="10"/>
        </w:numPr>
        <w:shd w:val="clear" w:color="auto" w:fill="auto"/>
        <w:tabs>
          <w:tab w:val="left" w:pos="0"/>
          <w:tab w:val="clear" w:pos="1277"/>
        </w:tabs>
        <w:kinsoku/>
        <w:wordWrap/>
        <w:topLinePunct w:val="0"/>
        <w:bidi w:val="0"/>
        <w:snapToGrid/>
        <w:spacing w:line="360" w:lineRule="auto"/>
        <w:ind w:left="0" w:firstLine="401" w:firstLineChars="190"/>
        <w:textAlignment w:val="auto"/>
        <w:rPr>
          <w:rFonts w:hint="eastAsia" w:asciiTheme="minorEastAsia" w:hAnsiTheme="minorEastAsia" w:eastAsiaTheme="minorEastAsia" w:cstheme="minorEastAsia"/>
          <w:b/>
          <w:bCs/>
          <w:color w:val="auto"/>
          <w:sz w:val="21"/>
          <w:szCs w:val="21"/>
          <w:highlight w:val="none"/>
          <w:u w:val="single"/>
        </w:rPr>
      </w:pP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 w:val="21"/>
          <w:szCs w:val="21"/>
          <w:highlight w:val="none"/>
          <w:u w:val="single"/>
        </w:rPr>
        <w:t>实质上没有响应采购文件要求的投标将被拒绝，投标人不得通过修正或撤消不合要求的偏离或保留从而使其投标成为实质上响应的投标。</w:t>
      </w:r>
    </w:p>
    <w:p w14:paraId="11021E6D">
      <w:pPr>
        <w:keepNext w:val="0"/>
        <w:keepLines w:val="0"/>
        <w:pageBreakBefore w:val="0"/>
        <w:widowControl w:val="0"/>
        <w:numPr>
          <w:ilvl w:val="1"/>
          <w:numId w:val="10"/>
        </w:numPr>
        <w:shd w:val="clear" w:color="auto" w:fill="auto"/>
        <w:tabs>
          <w:tab w:val="left" w:pos="0"/>
          <w:tab w:val="clear" w:pos="1277"/>
        </w:tabs>
        <w:kinsoku/>
        <w:wordWrap/>
        <w:topLinePunct w:val="0"/>
        <w:bidi w:val="0"/>
        <w:snapToGrid/>
        <w:spacing w:line="360" w:lineRule="auto"/>
        <w:ind w:left="0" w:firstLine="399" w:firstLineChars="19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评标委员会对审查合格的投标文件按照采购文件中制订的评标方法进行综合评定打分。</w:t>
      </w:r>
    </w:p>
    <w:p w14:paraId="6C56AE8C">
      <w:pPr>
        <w:keepNext w:val="0"/>
        <w:keepLines w:val="0"/>
        <w:pageBreakBefore w:val="0"/>
        <w:widowControl w:val="0"/>
        <w:shd w:val="clear" w:color="auto" w:fill="auto"/>
        <w:tabs>
          <w:tab w:val="left" w:pos="0"/>
        </w:tabs>
        <w:kinsoku/>
        <w:wordWrap/>
        <w:topLinePunct w:val="0"/>
        <w:bidi w:val="0"/>
        <w:snapToGrid/>
        <w:spacing w:line="360" w:lineRule="auto"/>
        <w:ind w:firstLine="399" w:firstLineChars="19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3.10▲</w:t>
      </w:r>
      <w:r>
        <w:rPr>
          <w:rFonts w:hint="eastAsia" w:asciiTheme="minorEastAsia" w:hAnsiTheme="minorEastAsia" w:eastAsiaTheme="minorEastAsia" w:cstheme="minorEastAsia"/>
          <w:b/>
          <w:bCs/>
          <w:color w:val="auto"/>
          <w:kern w:val="0"/>
          <w:sz w:val="21"/>
          <w:szCs w:val="21"/>
          <w:highlight w:val="none"/>
          <w:u w:val="singl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AA5FEB0">
      <w:pPr>
        <w:keepNext w:val="0"/>
        <w:keepLines w:val="0"/>
        <w:pageBreakBefore w:val="0"/>
        <w:widowControl w:val="0"/>
        <w:shd w:val="clear" w:color="auto" w:fill="auto"/>
        <w:tabs>
          <w:tab w:val="left" w:pos="0"/>
        </w:tabs>
        <w:kinsoku/>
        <w:wordWrap/>
        <w:topLinePunct w:val="0"/>
        <w:bidi w:val="0"/>
        <w:snapToGrid/>
        <w:spacing w:line="360" w:lineRule="auto"/>
        <w:ind w:firstLine="399" w:firstLineChars="19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3.11评标过程中遇到特殊情况，由评标委员会遵循公开、公正原则，采取投票方式按照少数服从多数原则决定。</w:t>
      </w:r>
    </w:p>
    <w:p w14:paraId="160945AF">
      <w:pPr>
        <w:keepNext w:val="0"/>
        <w:keepLines w:val="0"/>
        <w:pageBreakBefore w:val="0"/>
        <w:widowControl w:val="0"/>
        <w:shd w:val="clear" w:color="auto" w:fill="auto"/>
        <w:tabs>
          <w:tab w:val="left" w:pos="0"/>
        </w:tabs>
        <w:kinsoku/>
        <w:wordWrap/>
        <w:topLinePunct w:val="0"/>
        <w:bidi w:val="0"/>
        <w:snapToGrid/>
        <w:spacing w:line="360" w:lineRule="auto"/>
        <w:ind w:firstLine="399" w:firstLineChars="19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3.12投标截止时间止及评审期间，出现有效投标人不足法定家数的，应按流标处理。另根据《温州市市属国有企业采购管理办法》第三十六条规定，可以按原采购方式继续进行采购活动，但采购项目第一次评审活动除外。</w:t>
      </w:r>
    </w:p>
    <w:p w14:paraId="283CCC3F">
      <w:pPr>
        <w:keepNext w:val="0"/>
        <w:keepLines w:val="0"/>
        <w:pageBreakBefore w:val="0"/>
        <w:widowControl w:val="0"/>
        <w:shd w:val="clear" w:color="auto" w:fill="auto"/>
        <w:tabs>
          <w:tab w:val="left" w:pos="0"/>
        </w:tabs>
        <w:kinsoku/>
        <w:wordWrap/>
        <w:topLinePunct w:val="0"/>
        <w:bidi w:val="0"/>
        <w:snapToGrid/>
        <w:spacing w:line="360" w:lineRule="auto"/>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4.投标文件的澄清</w:t>
      </w:r>
    </w:p>
    <w:p w14:paraId="61F0DFB6">
      <w:pPr>
        <w:keepNext w:val="0"/>
        <w:keepLines w:val="0"/>
        <w:pageBreakBefore w:val="0"/>
        <w:widowControl w:val="0"/>
        <w:numPr>
          <w:ilvl w:val="1"/>
          <w:numId w:val="16"/>
        </w:numPr>
        <w:shd w:val="clear" w:color="auto" w:fill="auto"/>
        <w:tabs>
          <w:tab w:val="left" w:pos="0"/>
          <w:tab w:val="clear" w:pos="992"/>
        </w:tabs>
        <w:kinsoku/>
        <w:wordWrap/>
        <w:topLinePunct w:val="0"/>
        <w:bidi w:val="0"/>
        <w:snapToGrid/>
        <w:spacing w:line="360" w:lineRule="auto"/>
        <w:ind w:left="0" w:firstLine="399" w:firstLineChars="19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Cs/>
          <w:color w:val="auto"/>
          <w:sz w:val="21"/>
          <w:szCs w:val="21"/>
          <w:highlight w:val="none"/>
        </w:rPr>
        <w:t>在评标期间，评标委员会可以对投标文件中含义不明确、对同类问题表述不一致或者有明显文字和计算错误的内容作必要的澄清、说明或补正。澄清内容不得超出投标文件的范围或者改变投标文件的实质性内容。拒不按要求对其投标文件进行澄清，说明或补正的投标人，评标委员会可以否决其投标。</w:t>
      </w:r>
    </w:p>
    <w:p w14:paraId="0A26659E">
      <w:pPr>
        <w:keepNext w:val="0"/>
        <w:keepLines w:val="0"/>
        <w:pageBreakBefore w:val="0"/>
        <w:widowControl w:val="0"/>
        <w:numPr>
          <w:ilvl w:val="1"/>
          <w:numId w:val="16"/>
        </w:numPr>
        <w:shd w:val="clear" w:color="auto" w:fill="auto"/>
        <w:tabs>
          <w:tab w:val="left" w:pos="0"/>
          <w:tab w:val="clear" w:pos="992"/>
        </w:tabs>
        <w:kinsoku/>
        <w:wordWrap/>
        <w:topLinePunct w:val="0"/>
        <w:bidi w:val="0"/>
        <w:snapToGrid/>
        <w:spacing w:line="360" w:lineRule="auto"/>
        <w:ind w:left="0" w:firstLine="401" w:firstLineChars="190"/>
        <w:textAlignment w:val="auto"/>
        <w:rPr>
          <w:rFonts w:hint="eastAsia" w:asciiTheme="minorEastAsia" w:hAnsiTheme="minorEastAsia" w:eastAsiaTheme="minorEastAsia" w:cstheme="minorEastAsia"/>
          <w:b/>
          <w:color w:val="auto"/>
          <w:sz w:val="21"/>
          <w:szCs w:val="21"/>
          <w:highlight w:val="none"/>
          <w:u w:val="single"/>
        </w:rPr>
      </w:pPr>
      <w:r>
        <w:rPr>
          <w:rFonts w:hint="eastAsia" w:asciiTheme="minorEastAsia" w:hAnsiTheme="minorEastAsia" w:eastAsiaTheme="minorEastAsia" w:cstheme="minorEastAsia"/>
          <w:b/>
          <w:color w:val="auto"/>
          <w:kern w:val="0"/>
          <w:sz w:val="21"/>
          <w:szCs w:val="21"/>
          <w:highlight w:val="none"/>
          <w:u w:val="single"/>
        </w:rPr>
        <w:t>▲</w:t>
      </w:r>
      <w:r>
        <w:rPr>
          <w:rFonts w:hint="eastAsia" w:asciiTheme="minorEastAsia" w:hAnsiTheme="minorEastAsia" w:eastAsiaTheme="minorEastAsia" w:cstheme="minorEastAsia"/>
          <w:b/>
          <w:color w:val="auto"/>
          <w:sz w:val="21"/>
          <w:szCs w:val="21"/>
          <w:highlight w:val="none"/>
          <w:u w:val="single"/>
        </w:rPr>
        <w:t>经澄清后，若偏差仍存在，且不可接受，投标人则被认为是“没有实质性响应采购文件要求”，其投标不进入下一步评审。</w:t>
      </w:r>
    </w:p>
    <w:p w14:paraId="21A10F91">
      <w:pPr>
        <w:keepNext w:val="0"/>
        <w:keepLines w:val="0"/>
        <w:pageBreakBefore w:val="0"/>
        <w:widowControl w:val="0"/>
        <w:shd w:val="clear" w:color="auto" w:fill="auto"/>
        <w:tabs>
          <w:tab w:val="left" w:pos="0"/>
        </w:tabs>
        <w:kinsoku/>
        <w:wordWrap/>
        <w:topLinePunct w:val="0"/>
        <w:bidi w:val="0"/>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rPr>
        <w:t>5.确定中标候选人</w:t>
      </w:r>
    </w:p>
    <w:p w14:paraId="043601DB">
      <w:pPr>
        <w:keepNext w:val="0"/>
        <w:keepLines w:val="0"/>
        <w:pageBreakBefore w:val="0"/>
        <w:widowControl w:val="0"/>
        <w:numPr>
          <w:ilvl w:val="1"/>
          <w:numId w:val="17"/>
        </w:numPr>
        <w:shd w:val="clear" w:color="auto" w:fill="auto"/>
        <w:tabs>
          <w:tab w:val="left" w:pos="0"/>
          <w:tab w:val="clear" w:pos="992"/>
        </w:tabs>
        <w:kinsoku/>
        <w:wordWrap/>
        <w:topLinePunct w:val="0"/>
        <w:bidi w:val="0"/>
        <w:snapToGrid/>
        <w:spacing w:line="360" w:lineRule="auto"/>
        <w:ind w:left="0" w:firstLine="399" w:firstLineChars="19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本次采购由评标委员会推荐中标候选人，采购人根据评标委员会的推荐结果进行最终确认。</w:t>
      </w:r>
    </w:p>
    <w:p w14:paraId="1F5C0375">
      <w:pPr>
        <w:keepNext w:val="0"/>
        <w:keepLines w:val="0"/>
        <w:pageBreakBefore w:val="0"/>
        <w:widowControl w:val="0"/>
        <w:numPr>
          <w:ilvl w:val="1"/>
          <w:numId w:val="17"/>
        </w:numPr>
        <w:shd w:val="clear" w:color="auto" w:fill="auto"/>
        <w:tabs>
          <w:tab w:val="left" w:pos="0"/>
          <w:tab w:val="clear" w:pos="992"/>
        </w:tabs>
        <w:kinsoku/>
        <w:wordWrap/>
        <w:topLinePunct w:val="0"/>
        <w:bidi w:val="0"/>
        <w:snapToGrid/>
        <w:spacing w:line="360" w:lineRule="auto"/>
        <w:ind w:left="0" w:firstLine="399" w:firstLineChars="19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委员会依据法律、法规及采购文件有关规定在有效标中按投标人的综合得分（即商务技术分与报价分之和）高低进行排序，综合得分前二名的投标人依次推荐为第一、第二中标候选人。（综合得分相同的，按报价分由高到底顺序排列；综合得分且报价分相同的，由评标委员会成员抽签决定排序）</w:t>
      </w:r>
    </w:p>
    <w:p w14:paraId="1F7B41AF">
      <w:pPr>
        <w:keepNext w:val="0"/>
        <w:keepLines w:val="0"/>
        <w:pageBreakBefore w:val="0"/>
        <w:widowControl w:val="0"/>
        <w:numPr>
          <w:ilvl w:val="1"/>
          <w:numId w:val="17"/>
        </w:numPr>
        <w:shd w:val="clear" w:color="auto" w:fill="auto"/>
        <w:tabs>
          <w:tab w:val="left" w:pos="0"/>
          <w:tab w:val="clear" w:pos="992"/>
        </w:tabs>
        <w:kinsoku/>
        <w:wordWrap/>
        <w:topLinePunct w:val="0"/>
        <w:bidi w:val="0"/>
        <w:snapToGrid/>
        <w:spacing w:line="360" w:lineRule="auto"/>
        <w:ind w:left="0" w:firstLine="399" w:firstLineChars="19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若出现以下情形之一，采购人可视具体情况确定</w:t>
      </w:r>
      <w:r>
        <w:rPr>
          <w:rFonts w:hint="eastAsia" w:asciiTheme="minorEastAsia" w:hAnsiTheme="minorEastAsia" w:eastAsiaTheme="minorEastAsia" w:cstheme="minorEastAsia"/>
          <w:color w:val="auto"/>
          <w:kern w:val="0"/>
          <w:sz w:val="21"/>
          <w:szCs w:val="21"/>
          <w:highlight w:val="none"/>
        </w:rPr>
        <w:t>是否由排名第二的中标候选人为</w:t>
      </w:r>
      <w:r>
        <w:rPr>
          <w:rFonts w:hint="eastAsia" w:asciiTheme="minorEastAsia" w:hAnsiTheme="minorEastAsia" w:eastAsiaTheme="minorEastAsia" w:cstheme="minorEastAsia"/>
          <w:color w:val="auto"/>
          <w:kern w:val="0"/>
          <w:sz w:val="21"/>
          <w:szCs w:val="21"/>
          <w:highlight w:val="none"/>
          <w:lang w:eastAsia="zh-CN"/>
        </w:rPr>
        <w:t>中标供应商</w:t>
      </w:r>
      <w:r>
        <w:rPr>
          <w:rFonts w:hint="eastAsia" w:asciiTheme="minorEastAsia" w:hAnsiTheme="minorEastAsia" w:eastAsiaTheme="minorEastAsia" w:cstheme="minorEastAsia"/>
          <w:color w:val="auto"/>
          <w:kern w:val="0"/>
          <w:sz w:val="21"/>
          <w:szCs w:val="21"/>
          <w:highlight w:val="none"/>
        </w:rPr>
        <w:t>或</w:t>
      </w:r>
      <w:r>
        <w:rPr>
          <w:rFonts w:hint="eastAsia" w:asciiTheme="minorEastAsia" w:hAnsiTheme="minorEastAsia" w:eastAsiaTheme="minorEastAsia" w:cstheme="minorEastAsia"/>
          <w:color w:val="auto"/>
          <w:sz w:val="21"/>
          <w:szCs w:val="21"/>
          <w:highlight w:val="none"/>
        </w:rPr>
        <w:t>重新组织采购：</w:t>
      </w:r>
    </w:p>
    <w:p w14:paraId="4CE540E1">
      <w:pPr>
        <w:keepNext w:val="0"/>
        <w:keepLines w:val="0"/>
        <w:pageBreakBefore w:val="0"/>
        <w:widowControl w:val="0"/>
        <w:numPr>
          <w:ilvl w:val="0"/>
          <w:numId w:val="18"/>
        </w:numPr>
        <w:shd w:val="clear" w:color="auto" w:fill="auto"/>
        <w:tabs>
          <w:tab w:val="left" w:pos="0"/>
        </w:tabs>
        <w:kinsoku/>
        <w:wordWrap/>
        <w:topLinePunct w:val="0"/>
        <w:autoSpaceDE w:val="0"/>
        <w:autoSpaceDN w:val="0"/>
        <w:bidi w:val="0"/>
        <w:adjustRightInd w:val="0"/>
        <w:snapToGrid/>
        <w:spacing w:line="360" w:lineRule="auto"/>
        <w:ind w:firstLine="399" w:firstLineChars="190"/>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rPr>
        <w:t>第一</w:t>
      </w:r>
      <w:r>
        <w:rPr>
          <w:rFonts w:hint="eastAsia" w:asciiTheme="minorEastAsia" w:hAnsiTheme="minorEastAsia" w:eastAsiaTheme="minorEastAsia" w:cstheme="minorEastAsia"/>
          <w:color w:val="auto"/>
          <w:kern w:val="0"/>
          <w:sz w:val="21"/>
          <w:szCs w:val="21"/>
          <w:highlight w:val="none"/>
          <w:lang w:val="zh-CN"/>
        </w:rPr>
        <w:t>中标候选人放弃中标资格；</w:t>
      </w:r>
    </w:p>
    <w:p w14:paraId="321AB68D">
      <w:pPr>
        <w:keepNext w:val="0"/>
        <w:keepLines w:val="0"/>
        <w:pageBreakBefore w:val="0"/>
        <w:widowControl w:val="0"/>
        <w:numPr>
          <w:ilvl w:val="0"/>
          <w:numId w:val="18"/>
        </w:numPr>
        <w:shd w:val="clear" w:color="auto" w:fill="auto"/>
        <w:tabs>
          <w:tab w:val="left" w:pos="0"/>
        </w:tabs>
        <w:kinsoku/>
        <w:wordWrap/>
        <w:topLinePunct w:val="0"/>
        <w:autoSpaceDE w:val="0"/>
        <w:autoSpaceDN w:val="0"/>
        <w:bidi w:val="0"/>
        <w:adjustRightInd w:val="0"/>
        <w:snapToGrid/>
        <w:spacing w:line="360" w:lineRule="auto"/>
        <w:ind w:firstLine="399" w:firstLineChars="190"/>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rPr>
        <w:t>第一</w:t>
      </w:r>
      <w:r>
        <w:rPr>
          <w:rFonts w:hint="eastAsia" w:asciiTheme="minorEastAsia" w:hAnsiTheme="minorEastAsia" w:eastAsiaTheme="minorEastAsia" w:cstheme="minorEastAsia"/>
          <w:color w:val="auto"/>
          <w:kern w:val="0"/>
          <w:sz w:val="21"/>
          <w:szCs w:val="21"/>
          <w:highlight w:val="none"/>
          <w:lang w:val="zh-CN"/>
        </w:rPr>
        <w:t>中标候选人因不可抗力提出不能履行合同；</w:t>
      </w:r>
    </w:p>
    <w:p w14:paraId="2D9B599A">
      <w:pPr>
        <w:keepNext w:val="0"/>
        <w:keepLines w:val="0"/>
        <w:pageBreakBefore w:val="0"/>
        <w:widowControl w:val="0"/>
        <w:numPr>
          <w:ilvl w:val="0"/>
          <w:numId w:val="18"/>
        </w:numPr>
        <w:shd w:val="clear" w:color="auto" w:fill="auto"/>
        <w:tabs>
          <w:tab w:val="left" w:pos="0"/>
        </w:tabs>
        <w:kinsoku/>
        <w:wordWrap/>
        <w:topLinePunct w:val="0"/>
        <w:autoSpaceDE w:val="0"/>
        <w:autoSpaceDN w:val="0"/>
        <w:bidi w:val="0"/>
        <w:adjustRightInd w:val="0"/>
        <w:snapToGrid/>
        <w:spacing w:line="360" w:lineRule="auto"/>
        <w:ind w:firstLine="399" w:firstLineChars="190"/>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rPr>
        <w:t>第一</w:t>
      </w:r>
      <w:r>
        <w:rPr>
          <w:rFonts w:hint="eastAsia" w:asciiTheme="minorEastAsia" w:hAnsiTheme="minorEastAsia" w:eastAsiaTheme="minorEastAsia" w:cstheme="minorEastAsia"/>
          <w:color w:val="auto"/>
          <w:kern w:val="0"/>
          <w:sz w:val="21"/>
          <w:szCs w:val="21"/>
          <w:highlight w:val="none"/>
          <w:lang w:val="zh-CN"/>
        </w:rPr>
        <w:t>中标候选人未能在规定的期限内提交履约保证金；</w:t>
      </w:r>
    </w:p>
    <w:p w14:paraId="6397094C">
      <w:pPr>
        <w:keepNext w:val="0"/>
        <w:keepLines w:val="0"/>
        <w:pageBreakBefore w:val="0"/>
        <w:widowControl w:val="0"/>
        <w:numPr>
          <w:ilvl w:val="0"/>
          <w:numId w:val="18"/>
        </w:numPr>
        <w:shd w:val="clear" w:color="auto" w:fill="auto"/>
        <w:tabs>
          <w:tab w:val="left" w:pos="0"/>
        </w:tabs>
        <w:kinsoku/>
        <w:wordWrap/>
        <w:topLinePunct w:val="0"/>
        <w:autoSpaceDE w:val="0"/>
        <w:autoSpaceDN w:val="0"/>
        <w:bidi w:val="0"/>
        <w:adjustRightInd w:val="0"/>
        <w:snapToGrid/>
        <w:spacing w:line="360" w:lineRule="auto"/>
        <w:ind w:firstLine="399" w:firstLineChars="190"/>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rPr>
        <w:t>第一</w:t>
      </w:r>
      <w:r>
        <w:rPr>
          <w:rFonts w:hint="eastAsia" w:asciiTheme="minorEastAsia" w:hAnsiTheme="minorEastAsia" w:eastAsiaTheme="minorEastAsia" w:cstheme="minorEastAsia"/>
          <w:color w:val="auto"/>
          <w:kern w:val="0"/>
          <w:sz w:val="21"/>
          <w:szCs w:val="21"/>
          <w:highlight w:val="none"/>
          <w:lang w:val="zh-CN"/>
        </w:rPr>
        <w:t>中标候选人未能在规定时间内与采购人签订合同；</w:t>
      </w:r>
    </w:p>
    <w:p w14:paraId="42FDB44D">
      <w:pPr>
        <w:keepNext w:val="0"/>
        <w:keepLines w:val="0"/>
        <w:pageBreakBefore w:val="0"/>
        <w:widowControl w:val="0"/>
        <w:numPr>
          <w:ilvl w:val="0"/>
          <w:numId w:val="18"/>
        </w:numPr>
        <w:shd w:val="clear" w:color="auto" w:fill="auto"/>
        <w:tabs>
          <w:tab w:val="left" w:pos="0"/>
        </w:tabs>
        <w:kinsoku/>
        <w:wordWrap/>
        <w:topLinePunct w:val="0"/>
        <w:autoSpaceDE w:val="0"/>
        <w:autoSpaceDN w:val="0"/>
        <w:bidi w:val="0"/>
        <w:adjustRightInd w:val="0"/>
        <w:snapToGrid/>
        <w:spacing w:line="360" w:lineRule="auto"/>
        <w:ind w:firstLine="399" w:firstLineChars="190"/>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经质疑，采购人审查后，</w:t>
      </w:r>
      <w:r>
        <w:rPr>
          <w:rFonts w:hint="eastAsia" w:asciiTheme="minorEastAsia" w:hAnsiTheme="minorEastAsia" w:eastAsiaTheme="minorEastAsia" w:cstheme="minorEastAsia"/>
          <w:color w:val="auto"/>
          <w:kern w:val="0"/>
          <w:sz w:val="21"/>
          <w:szCs w:val="21"/>
          <w:highlight w:val="none"/>
        </w:rPr>
        <w:t>第一</w:t>
      </w:r>
      <w:r>
        <w:rPr>
          <w:rFonts w:hint="eastAsia" w:asciiTheme="minorEastAsia" w:hAnsiTheme="minorEastAsia" w:eastAsiaTheme="minorEastAsia" w:cstheme="minorEastAsia"/>
          <w:color w:val="auto"/>
          <w:kern w:val="0"/>
          <w:sz w:val="21"/>
          <w:szCs w:val="21"/>
          <w:highlight w:val="none"/>
          <w:lang w:val="zh-CN"/>
        </w:rPr>
        <w:t>中标候选人确实在本次采购活动中存在违法违规行为或其他原因使质疑成立的。</w:t>
      </w:r>
    </w:p>
    <w:p w14:paraId="73233F9A">
      <w:pPr>
        <w:keepNext w:val="0"/>
        <w:keepLines w:val="0"/>
        <w:pageBreakBefore w:val="0"/>
        <w:widowControl w:val="0"/>
        <w:numPr>
          <w:ilvl w:val="1"/>
          <w:numId w:val="17"/>
        </w:numPr>
        <w:shd w:val="clear" w:color="auto" w:fill="auto"/>
        <w:tabs>
          <w:tab w:val="left" w:pos="0"/>
          <w:tab w:val="clear" w:pos="992"/>
        </w:tabs>
        <w:kinsoku/>
        <w:wordWrap/>
        <w:topLinePunct w:val="0"/>
        <w:bidi w:val="0"/>
        <w:snapToGrid/>
        <w:spacing w:line="360" w:lineRule="auto"/>
        <w:ind w:left="0" w:firstLine="399" w:firstLineChars="19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采购人、采购代理机构及评标委员会对未中标的投标人不作解释，不对投标人公布详细的评审情况，不公布具体评标细则中小项得分。</w:t>
      </w:r>
    </w:p>
    <w:p w14:paraId="4B834ED6">
      <w:pPr>
        <w:keepNext w:val="0"/>
        <w:keepLines w:val="0"/>
        <w:pageBreakBefore w:val="0"/>
        <w:widowControl w:val="0"/>
        <w:shd w:val="clear" w:color="auto" w:fill="auto"/>
        <w:tabs>
          <w:tab w:val="left" w:pos="0"/>
        </w:tabs>
        <w:kinsoku/>
        <w:wordWrap/>
        <w:topLinePunct w:val="0"/>
        <w:bidi w:val="0"/>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rPr>
        <w:t>6.评标原则及办法</w:t>
      </w:r>
    </w:p>
    <w:p w14:paraId="729509A0">
      <w:pPr>
        <w:keepNext w:val="0"/>
        <w:keepLines w:val="0"/>
        <w:pageBreakBefore w:val="0"/>
        <w:widowControl w:val="0"/>
        <w:shd w:val="clear" w:color="auto" w:fill="auto"/>
        <w:kinsoku/>
        <w:wordWrap/>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评标委员会按照采购文件的要求和条件进行评标，详见“评标原则及方法”。</w:t>
      </w:r>
    </w:p>
    <w:p w14:paraId="32982BFA">
      <w:pPr>
        <w:keepNext w:val="0"/>
        <w:keepLines w:val="0"/>
        <w:pageBreakBefore w:val="0"/>
        <w:widowControl w:val="0"/>
        <w:shd w:val="clear" w:color="auto" w:fill="auto"/>
        <w:kinsoku/>
        <w:wordWrap/>
        <w:topLinePunct w:val="0"/>
        <w:bidi w:val="0"/>
        <w:snapToGrid/>
        <w:spacing w:before="200" w:after="200" w:line="360" w:lineRule="auto"/>
        <w:jc w:val="center"/>
        <w:textAlignment w:val="auto"/>
        <w:outlineLvl w:val="0"/>
        <w:rPr>
          <w:rFonts w:hint="eastAsia" w:asciiTheme="minorEastAsia" w:hAnsiTheme="minorEastAsia" w:eastAsiaTheme="minorEastAsia" w:cstheme="minorEastAsia"/>
          <w:b/>
          <w:bCs/>
          <w:color w:val="auto"/>
          <w:sz w:val="21"/>
          <w:szCs w:val="21"/>
          <w:highlight w:val="none"/>
        </w:rPr>
      </w:pPr>
      <w:bookmarkStart w:id="101" w:name="_Toc262105505"/>
      <w:bookmarkStart w:id="102" w:name="_Toc245722283"/>
      <w:bookmarkStart w:id="103" w:name="_Toc245191316"/>
      <w:bookmarkStart w:id="104" w:name="_Toc221423621"/>
      <w:bookmarkStart w:id="105" w:name="_Toc223716000"/>
      <w:bookmarkStart w:id="106" w:name="_Toc221356953"/>
      <w:bookmarkStart w:id="107" w:name="_Toc241404204"/>
      <w:bookmarkStart w:id="108" w:name="_Toc249758866"/>
      <w:bookmarkStart w:id="109" w:name="_Toc221356889"/>
      <w:bookmarkStart w:id="110" w:name="_Toc249758714"/>
      <w:bookmarkStart w:id="111" w:name="_Toc239145356"/>
      <w:bookmarkStart w:id="112" w:name="_Toc221374628"/>
      <w:bookmarkStart w:id="113" w:name="_Toc12964"/>
      <w:bookmarkStart w:id="114" w:name="_Toc262049420"/>
      <w:bookmarkStart w:id="115" w:name="_Toc222114881"/>
      <w:bookmarkStart w:id="116" w:name="_Toc246261267"/>
      <w:r>
        <w:rPr>
          <w:rFonts w:hint="eastAsia" w:asciiTheme="minorEastAsia" w:hAnsiTheme="minorEastAsia" w:eastAsiaTheme="minorEastAsia" w:cstheme="minorEastAsia"/>
          <w:b/>
          <w:bCs/>
          <w:color w:val="auto"/>
          <w:sz w:val="21"/>
          <w:szCs w:val="21"/>
          <w:highlight w:val="none"/>
        </w:rPr>
        <w:t>六、 授予合同</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379CA10A">
      <w:pPr>
        <w:keepNext w:val="0"/>
        <w:keepLines w:val="0"/>
        <w:pageBreakBefore w:val="0"/>
        <w:widowControl w:val="0"/>
        <w:shd w:val="clear" w:color="auto" w:fill="auto"/>
        <w:tabs>
          <w:tab w:val="left" w:pos="0"/>
        </w:tabs>
        <w:kinsoku/>
        <w:wordWrap/>
        <w:topLinePunct w:val="0"/>
        <w:bidi w:val="0"/>
        <w:snapToGrid/>
        <w:spacing w:line="360" w:lineRule="auto"/>
        <w:textAlignment w:val="auto"/>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rPr>
        <w:t>1.确定</w:t>
      </w:r>
      <w:r>
        <w:rPr>
          <w:rFonts w:hint="eastAsia" w:asciiTheme="minorEastAsia" w:hAnsiTheme="minorEastAsia" w:eastAsiaTheme="minorEastAsia" w:cstheme="minorEastAsia"/>
          <w:color w:val="auto"/>
          <w:kern w:val="0"/>
          <w:sz w:val="21"/>
          <w:szCs w:val="21"/>
          <w:highlight w:val="none"/>
          <w:lang w:eastAsia="zh-CN"/>
        </w:rPr>
        <w:t>中标供应商</w:t>
      </w:r>
    </w:p>
    <w:p w14:paraId="2C55BE98">
      <w:pPr>
        <w:keepNext w:val="0"/>
        <w:keepLines w:val="0"/>
        <w:pageBreakBefore w:val="0"/>
        <w:widowControl w:val="0"/>
        <w:shd w:val="clear" w:color="auto" w:fill="auto"/>
        <w:tabs>
          <w:tab w:val="left" w:pos="840"/>
        </w:tabs>
        <w:kinsoku/>
        <w:wordWrap/>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评标委员会推荐的中标候选人经采购人确认后在浙江政府采购网、温州国企采购平台、</w:t>
      </w:r>
      <w:r>
        <w:rPr>
          <w:rFonts w:hint="eastAsia" w:asciiTheme="minorEastAsia" w:hAnsiTheme="minorEastAsia" w:eastAsiaTheme="minorEastAsia" w:cstheme="minorEastAsia"/>
          <w:color w:val="auto"/>
          <w:sz w:val="21"/>
          <w:szCs w:val="21"/>
          <w:highlight w:val="none"/>
          <w:lang w:eastAsia="zh-CN"/>
        </w:rPr>
        <w:t>温州市交通运输集团有限公司</w:t>
      </w:r>
      <w:r>
        <w:rPr>
          <w:rFonts w:hint="eastAsia" w:asciiTheme="minorEastAsia" w:hAnsiTheme="minorEastAsia" w:eastAsiaTheme="minorEastAsia" w:cstheme="minorEastAsia"/>
          <w:color w:val="auto"/>
          <w:sz w:val="21"/>
          <w:szCs w:val="21"/>
          <w:highlight w:val="none"/>
        </w:rPr>
        <w:t>网站上公示，各投标人对评标结果如有异议，可在规定时间内以书面形式向采购人进行署名投诉或提出质疑，但需对投诉或质疑内容的真实性承担法律责任。中标公告期限为1个工作日，公示期结束后，采购人将根据评标委员会提交的书面评标报告和评审结果最后确定</w:t>
      </w:r>
      <w:r>
        <w:rPr>
          <w:rFonts w:hint="eastAsia" w:asciiTheme="minorEastAsia" w:hAnsiTheme="minorEastAsia" w:eastAsiaTheme="minorEastAsia" w:cstheme="minorEastAsia"/>
          <w:color w:val="auto"/>
          <w:sz w:val="21"/>
          <w:szCs w:val="21"/>
          <w:highlight w:val="none"/>
          <w:lang w:eastAsia="zh-CN"/>
        </w:rPr>
        <w:t>中标供应商</w:t>
      </w:r>
      <w:r>
        <w:rPr>
          <w:rFonts w:hint="eastAsia" w:asciiTheme="minorEastAsia" w:hAnsiTheme="minorEastAsia" w:eastAsiaTheme="minorEastAsia" w:cstheme="minorEastAsia"/>
          <w:color w:val="auto"/>
          <w:sz w:val="21"/>
          <w:szCs w:val="21"/>
          <w:highlight w:val="none"/>
        </w:rPr>
        <w:t>。</w:t>
      </w:r>
    </w:p>
    <w:p w14:paraId="7441D8BD">
      <w:pPr>
        <w:keepNext w:val="0"/>
        <w:keepLines w:val="0"/>
        <w:pageBreakBefore w:val="0"/>
        <w:widowControl w:val="0"/>
        <w:shd w:val="clear" w:color="auto" w:fill="auto"/>
        <w:tabs>
          <w:tab w:val="left" w:pos="0"/>
        </w:tabs>
        <w:kinsoku/>
        <w:wordWrap/>
        <w:topLinePunct w:val="0"/>
        <w:bidi w:val="0"/>
        <w:snapToGrid/>
        <w:spacing w:line="360" w:lineRule="auto"/>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2.中标通知书</w:t>
      </w:r>
    </w:p>
    <w:p w14:paraId="47B54103">
      <w:pPr>
        <w:keepNext w:val="0"/>
        <w:keepLines w:val="0"/>
        <w:pageBreakBefore w:val="0"/>
        <w:widowControl w:val="0"/>
        <w:shd w:val="clear" w:color="auto" w:fill="auto"/>
        <w:kinsoku/>
        <w:wordWrap/>
        <w:topLinePunct w:val="0"/>
        <w:bidi w:val="0"/>
        <w:snapToGrid/>
        <w:spacing w:line="360" w:lineRule="auto"/>
        <w:ind w:firstLine="399" w:firstLineChars="19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rPr>
        <w:t>2.1</w:t>
      </w:r>
      <w:r>
        <w:rPr>
          <w:rFonts w:hint="eastAsia" w:asciiTheme="minorEastAsia" w:hAnsiTheme="minorEastAsia" w:eastAsiaTheme="minorEastAsia" w:cstheme="minorEastAsia"/>
          <w:color w:val="auto"/>
          <w:kern w:val="0"/>
          <w:sz w:val="21"/>
          <w:szCs w:val="21"/>
          <w:highlight w:val="none"/>
          <w:lang w:eastAsia="zh-CN"/>
        </w:rPr>
        <w:t>中标供应商</w:t>
      </w:r>
      <w:r>
        <w:rPr>
          <w:rFonts w:hint="eastAsia" w:asciiTheme="minorEastAsia" w:hAnsiTheme="minorEastAsia" w:eastAsiaTheme="minorEastAsia" w:cstheme="minorEastAsia"/>
          <w:color w:val="auto"/>
          <w:kern w:val="0"/>
          <w:sz w:val="21"/>
          <w:szCs w:val="21"/>
          <w:highlight w:val="none"/>
        </w:rPr>
        <w:t>确定后，采购人将向</w:t>
      </w:r>
      <w:r>
        <w:rPr>
          <w:rFonts w:hint="eastAsia" w:asciiTheme="minorEastAsia" w:hAnsiTheme="minorEastAsia" w:eastAsiaTheme="minorEastAsia" w:cstheme="minorEastAsia"/>
          <w:color w:val="auto"/>
          <w:kern w:val="0"/>
          <w:sz w:val="21"/>
          <w:szCs w:val="21"/>
          <w:highlight w:val="none"/>
          <w:lang w:eastAsia="zh-CN"/>
        </w:rPr>
        <w:t>中标供应商</w:t>
      </w:r>
      <w:r>
        <w:rPr>
          <w:rFonts w:hint="eastAsia" w:asciiTheme="minorEastAsia" w:hAnsiTheme="minorEastAsia" w:eastAsiaTheme="minorEastAsia" w:cstheme="minorEastAsia"/>
          <w:color w:val="auto"/>
          <w:kern w:val="0"/>
          <w:sz w:val="21"/>
          <w:szCs w:val="21"/>
          <w:highlight w:val="none"/>
        </w:rPr>
        <w:t>发出中标通知书</w:t>
      </w:r>
      <w:r>
        <w:rPr>
          <w:rFonts w:hint="eastAsia" w:asciiTheme="minorEastAsia" w:hAnsiTheme="minorEastAsia" w:eastAsiaTheme="minorEastAsia" w:cstheme="minorEastAsia"/>
          <w:bCs/>
          <w:color w:val="auto"/>
          <w:sz w:val="21"/>
          <w:szCs w:val="21"/>
          <w:highlight w:val="none"/>
        </w:rPr>
        <w:t xml:space="preserve">。 </w:t>
      </w:r>
    </w:p>
    <w:p w14:paraId="2EF40520">
      <w:pPr>
        <w:keepNext w:val="0"/>
        <w:keepLines w:val="0"/>
        <w:pageBreakBefore w:val="0"/>
        <w:widowControl w:val="0"/>
        <w:shd w:val="clear" w:color="auto" w:fill="auto"/>
        <w:kinsoku/>
        <w:wordWrap/>
        <w:topLinePunct w:val="0"/>
        <w:bidi w:val="0"/>
        <w:snapToGrid/>
        <w:spacing w:line="360" w:lineRule="auto"/>
        <w:ind w:firstLine="399" w:firstLineChars="19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2.2中标通知书是合同的一个组成部分,对采购人和</w:t>
      </w:r>
      <w:r>
        <w:rPr>
          <w:rFonts w:hint="eastAsia" w:asciiTheme="minorEastAsia" w:hAnsiTheme="minorEastAsia" w:eastAsiaTheme="minorEastAsia" w:cstheme="minorEastAsia"/>
          <w:color w:val="auto"/>
          <w:sz w:val="21"/>
          <w:szCs w:val="21"/>
          <w:highlight w:val="none"/>
          <w:lang w:eastAsia="zh-CN"/>
        </w:rPr>
        <w:t>中标供应商</w:t>
      </w:r>
      <w:r>
        <w:rPr>
          <w:rFonts w:hint="eastAsia" w:asciiTheme="minorEastAsia" w:hAnsiTheme="minorEastAsia" w:eastAsiaTheme="minorEastAsia" w:cstheme="minorEastAsia"/>
          <w:color w:val="auto"/>
          <w:sz w:val="21"/>
          <w:szCs w:val="21"/>
          <w:highlight w:val="none"/>
        </w:rPr>
        <w:t>均具有同等法律效力。</w:t>
      </w:r>
    </w:p>
    <w:p w14:paraId="0E5CE42D">
      <w:pPr>
        <w:keepNext w:val="0"/>
        <w:keepLines w:val="0"/>
        <w:pageBreakBefore w:val="0"/>
        <w:widowControl w:val="0"/>
        <w:shd w:val="clear" w:color="auto" w:fill="auto"/>
        <w:kinsoku/>
        <w:wordWrap/>
        <w:topLinePunct w:val="0"/>
        <w:bidi w:val="0"/>
        <w:snapToGrid/>
        <w:spacing w:line="360" w:lineRule="auto"/>
        <w:ind w:firstLine="399" w:firstLineChars="19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 采购人对未中标的投标人不作落标原因解释</w:t>
      </w:r>
    </w:p>
    <w:p w14:paraId="357D113F">
      <w:pPr>
        <w:keepNext w:val="0"/>
        <w:keepLines w:val="0"/>
        <w:pageBreakBefore w:val="0"/>
        <w:widowControl w:val="0"/>
        <w:shd w:val="clear" w:color="auto" w:fill="auto"/>
        <w:tabs>
          <w:tab w:val="left" w:pos="0"/>
        </w:tabs>
        <w:kinsoku/>
        <w:wordWrap/>
        <w:topLinePunct w:val="0"/>
        <w:bidi w:val="0"/>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rPr>
        <w:t>3.签订合同</w:t>
      </w:r>
    </w:p>
    <w:p w14:paraId="5B1D7DA1">
      <w:pPr>
        <w:keepNext w:val="0"/>
        <w:keepLines w:val="0"/>
        <w:pageBreakBefore w:val="0"/>
        <w:widowControl w:val="0"/>
        <w:shd w:val="clear" w:color="auto" w:fill="auto"/>
        <w:tabs>
          <w:tab w:val="left" w:pos="840"/>
        </w:tabs>
        <w:kinsoku/>
        <w:wordWrap/>
        <w:topLinePunct w:val="0"/>
        <w:bidi w:val="0"/>
        <w:snapToGrid/>
        <w:spacing w:line="360" w:lineRule="auto"/>
        <w:ind w:firstLine="399" w:firstLineChars="19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3.1</w:t>
      </w:r>
      <w:r>
        <w:rPr>
          <w:rFonts w:hint="eastAsia" w:asciiTheme="minorEastAsia" w:hAnsiTheme="minorEastAsia" w:eastAsiaTheme="minorEastAsia" w:cstheme="minorEastAsia"/>
          <w:color w:val="auto"/>
          <w:sz w:val="21"/>
          <w:szCs w:val="21"/>
          <w:highlight w:val="none"/>
          <w:lang w:eastAsia="zh-CN"/>
        </w:rPr>
        <w:t>中标供应商</w:t>
      </w:r>
      <w:r>
        <w:rPr>
          <w:rFonts w:hint="eastAsia" w:asciiTheme="minorEastAsia" w:hAnsiTheme="minorEastAsia" w:eastAsiaTheme="minorEastAsia" w:cstheme="minorEastAsia"/>
          <w:color w:val="auto"/>
          <w:sz w:val="21"/>
          <w:szCs w:val="21"/>
          <w:highlight w:val="none"/>
        </w:rPr>
        <w:t>应按中标通知书规定的时间、地点与采购人签订合同。</w:t>
      </w:r>
    </w:p>
    <w:p w14:paraId="03D1B2CD">
      <w:pPr>
        <w:keepNext w:val="0"/>
        <w:keepLines w:val="0"/>
        <w:pageBreakBefore w:val="0"/>
        <w:widowControl w:val="0"/>
        <w:shd w:val="clear" w:color="auto" w:fill="auto"/>
        <w:tabs>
          <w:tab w:val="left" w:pos="840"/>
        </w:tabs>
        <w:kinsoku/>
        <w:wordWrap/>
        <w:topLinePunct w:val="0"/>
        <w:bidi w:val="0"/>
        <w:snapToGrid/>
        <w:spacing w:line="360" w:lineRule="auto"/>
        <w:ind w:firstLine="399" w:firstLineChars="19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3.2采购文件、采购补充文件、</w:t>
      </w:r>
      <w:r>
        <w:rPr>
          <w:rFonts w:hint="eastAsia" w:asciiTheme="minorEastAsia" w:hAnsiTheme="minorEastAsia" w:eastAsiaTheme="minorEastAsia" w:cstheme="minorEastAsia"/>
          <w:color w:val="auto"/>
          <w:sz w:val="21"/>
          <w:szCs w:val="21"/>
          <w:highlight w:val="none"/>
          <w:lang w:eastAsia="zh-CN"/>
        </w:rPr>
        <w:t>中标供应商</w:t>
      </w:r>
      <w:r>
        <w:rPr>
          <w:rFonts w:hint="eastAsia" w:asciiTheme="minorEastAsia" w:hAnsiTheme="minorEastAsia" w:eastAsiaTheme="minorEastAsia" w:cstheme="minorEastAsia"/>
          <w:color w:val="auto"/>
          <w:sz w:val="21"/>
          <w:szCs w:val="21"/>
          <w:highlight w:val="none"/>
        </w:rPr>
        <w:t>的投标文件及投标修改文件、评标过程中有关澄清文件及经双方签字的询标纪要和中标通知书均作为合同附件。</w:t>
      </w:r>
    </w:p>
    <w:p w14:paraId="0F9C0293">
      <w:pPr>
        <w:keepNext w:val="0"/>
        <w:keepLines w:val="0"/>
        <w:pageBreakBefore w:val="0"/>
        <w:widowControl w:val="0"/>
        <w:shd w:val="clear" w:color="auto" w:fill="auto"/>
        <w:tabs>
          <w:tab w:val="left" w:pos="840"/>
        </w:tabs>
        <w:kinsoku/>
        <w:wordWrap/>
        <w:topLinePunct w:val="0"/>
        <w:bidi w:val="0"/>
        <w:snapToGrid/>
        <w:spacing w:line="360" w:lineRule="auto"/>
        <w:ind w:firstLine="399" w:firstLineChars="19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3.3拒签协议的违约责任</w:t>
      </w:r>
    </w:p>
    <w:p w14:paraId="22CAFAB4">
      <w:pPr>
        <w:keepNext w:val="0"/>
        <w:keepLines w:val="0"/>
        <w:pageBreakBefore w:val="0"/>
        <w:widowControl w:val="0"/>
        <w:shd w:val="clear" w:color="auto" w:fill="auto"/>
        <w:kinsoku/>
        <w:wordWrap/>
        <w:topLinePunct w:val="0"/>
        <w:bidi w:val="0"/>
        <w:snapToGrid/>
        <w:spacing w:line="360" w:lineRule="auto"/>
        <w:ind w:firstLine="399" w:firstLineChars="19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中标供应商</w:t>
      </w:r>
      <w:r>
        <w:rPr>
          <w:rFonts w:hint="eastAsia" w:asciiTheme="minorEastAsia" w:hAnsiTheme="minorEastAsia" w:eastAsiaTheme="minorEastAsia" w:cstheme="minorEastAsia"/>
          <w:color w:val="auto"/>
          <w:sz w:val="21"/>
          <w:szCs w:val="21"/>
          <w:highlight w:val="none"/>
        </w:rPr>
        <w:t>接到中标通知书后，在规定时间内借故否认已经承诺的条件而拒签协议者，以投标违约处理，其投标保证金不予退回；给采购人造成损失的，由</w:t>
      </w:r>
      <w:r>
        <w:rPr>
          <w:rFonts w:hint="eastAsia" w:asciiTheme="minorEastAsia" w:hAnsiTheme="minorEastAsia" w:eastAsiaTheme="minorEastAsia" w:cstheme="minorEastAsia"/>
          <w:color w:val="auto"/>
          <w:sz w:val="21"/>
          <w:szCs w:val="21"/>
          <w:highlight w:val="none"/>
          <w:lang w:eastAsia="zh-CN"/>
        </w:rPr>
        <w:t>中标供应商</w:t>
      </w:r>
      <w:r>
        <w:rPr>
          <w:rFonts w:hint="eastAsia" w:asciiTheme="minorEastAsia" w:hAnsiTheme="minorEastAsia" w:eastAsiaTheme="minorEastAsia" w:cstheme="minorEastAsia"/>
          <w:color w:val="auto"/>
          <w:sz w:val="21"/>
          <w:szCs w:val="21"/>
          <w:highlight w:val="none"/>
        </w:rPr>
        <w:t>负责赔偿；由此而需要重新组织采购的，所需费用由</w:t>
      </w:r>
      <w:r>
        <w:rPr>
          <w:rFonts w:hint="eastAsia" w:asciiTheme="minorEastAsia" w:hAnsiTheme="minorEastAsia" w:eastAsiaTheme="minorEastAsia" w:cstheme="minorEastAsia"/>
          <w:color w:val="auto"/>
          <w:sz w:val="21"/>
          <w:szCs w:val="21"/>
          <w:highlight w:val="none"/>
          <w:lang w:eastAsia="zh-CN"/>
        </w:rPr>
        <w:t>中标供应商</w:t>
      </w:r>
      <w:r>
        <w:rPr>
          <w:rFonts w:hint="eastAsia" w:asciiTheme="minorEastAsia" w:hAnsiTheme="minorEastAsia" w:eastAsiaTheme="minorEastAsia" w:cstheme="minorEastAsia"/>
          <w:color w:val="auto"/>
          <w:sz w:val="21"/>
          <w:szCs w:val="21"/>
          <w:highlight w:val="none"/>
        </w:rPr>
        <w:t>承担。</w:t>
      </w:r>
    </w:p>
    <w:p w14:paraId="28E841A9">
      <w:pPr>
        <w:keepNext w:val="0"/>
        <w:keepLines w:val="0"/>
        <w:pageBreakBefore w:val="0"/>
        <w:widowControl w:val="0"/>
        <w:shd w:val="clear" w:color="auto" w:fill="auto"/>
        <w:tabs>
          <w:tab w:val="left" w:pos="0"/>
        </w:tabs>
        <w:kinsoku/>
        <w:wordWrap/>
        <w:topLinePunct w:val="0"/>
        <w:bidi w:val="0"/>
        <w:snapToGrid/>
        <w:spacing w:line="360" w:lineRule="auto"/>
        <w:textAlignment w:val="auto"/>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bCs/>
          <w:color w:val="auto"/>
          <w:sz w:val="21"/>
          <w:szCs w:val="21"/>
          <w:highlight w:val="none"/>
        </w:rPr>
        <w:t>4.履约保证金</w:t>
      </w:r>
    </w:p>
    <w:p w14:paraId="73BC85F4">
      <w:pPr>
        <w:keepNext w:val="0"/>
        <w:keepLines w:val="0"/>
        <w:pageBreakBefore w:val="0"/>
        <w:widowControl w:val="0"/>
        <w:shd w:val="clear" w:color="auto" w:fill="auto"/>
        <w:tabs>
          <w:tab w:val="left" w:pos="540"/>
        </w:tabs>
        <w:kinsoku/>
        <w:wordWrap/>
        <w:topLinePunct w:val="0"/>
        <w:bidi w:val="0"/>
        <w:snapToGrid/>
        <w:spacing w:line="360" w:lineRule="auto"/>
        <w:ind w:firstLine="399" w:firstLineChars="19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4.1</w:t>
      </w:r>
      <w:r>
        <w:rPr>
          <w:rFonts w:hint="eastAsia" w:asciiTheme="minorEastAsia" w:hAnsiTheme="minorEastAsia" w:eastAsiaTheme="minorEastAsia" w:cstheme="minorEastAsia"/>
          <w:color w:val="auto"/>
          <w:kern w:val="0"/>
          <w:sz w:val="21"/>
          <w:szCs w:val="21"/>
          <w:highlight w:val="none"/>
          <w:lang w:eastAsia="zh-CN"/>
        </w:rPr>
        <w:t>中标供应商</w:t>
      </w:r>
      <w:r>
        <w:rPr>
          <w:rFonts w:hint="eastAsia" w:asciiTheme="minorEastAsia" w:hAnsiTheme="minorEastAsia" w:eastAsiaTheme="minorEastAsia" w:cstheme="minorEastAsia"/>
          <w:color w:val="auto"/>
          <w:kern w:val="0"/>
          <w:sz w:val="21"/>
          <w:szCs w:val="21"/>
          <w:highlight w:val="none"/>
        </w:rPr>
        <w:t>在收到中标通知书后，</w:t>
      </w:r>
      <w:r>
        <w:rPr>
          <w:rFonts w:hint="eastAsia" w:asciiTheme="minorEastAsia" w:hAnsiTheme="minorEastAsia" w:eastAsiaTheme="minorEastAsia" w:cstheme="minorEastAsia"/>
          <w:color w:val="auto"/>
          <w:spacing w:val="6"/>
          <w:sz w:val="21"/>
          <w:szCs w:val="21"/>
          <w:highlight w:val="none"/>
        </w:rPr>
        <w:t>签订</w:t>
      </w:r>
      <w:r>
        <w:rPr>
          <w:rFonts w:hint="eastAsia" w:asciiTheme="minorEastAsia" w:hAnsiTheme="minorEastAsia" w:eastAsiaTheme="minorEastAsia" w:cstheme="minorEastAsia"/>
          <w:color w:val="auto"/>
          <w:spacing w:val="6"/>
          <w:sz w:val="21"/>
          <w:szCs w:val="21"/>
          <w:highlight w:val="none"/>
          <w:lang w:val="en-US" w:eastAsia="zh-CN"/>
        </w:rPr>
        <w:t>合同</w:t>
      </w:r>
      <w:r>
        <w:rPr>
          <w:rFonts w:hint="eastAsia" w:asciiTheme="minorEastAsia" w:hAnsiTheme="minorEastAsia" w:eastAsiaTheme="minorEastAsia" w:cstheme="minorEastAsia"/>
          <w:color w:val="auto"/>
          <w:spacing w:val="6"/>
          <w:sz w:val="21"/>
          <w:szCs w:val="21"/>
          <w:highlight w:val="none"/>
        </w:rPr>
        <w:t>前须向采购人提交履约保证金</w:t>
      </w:r>
      <w:r>
        <w:rPr>
          <w:rFonts w:hint="eastAsia" w:asciiTheme="minorEastAsia" w:hAnsiTheme="minorEastAsia" w:eastAsiaTheme="minorEastAsia" w:cstheme="minorEastAsia"/>
          <w:b/>
          <w:color w:val="auto"/>
          <w:sz w:val="21"/>
          <w:szCs w:val="21"/>
          <w:highlight w:val="none"/>
        </w:rPr>
        <w:t xml:space="preserve">。 </w:t>
      </w:r>
    </w:p>
    <w:p w14:paraId="1FD139F7">
      <w:pPr>
        <w:keepNext w:val="0"/>
        <w:keepLines w:val="0"/>
        <w:pageBreakBefore w:val="0"/>
        <w:widowControl w:val="0"/>
        <w:shd w:val="clear" w:color="auto" w:fill="auto"/>
        <w:tabs>
          <w:tab w:val="left" w:pos="540"/>
        </w:tabs>
        <w:kinsoku/>
        <w:wordWrap/>
        <w:topLinePunct w:val="0"/>
        <w:bidi w:val="0"/>
        <w:snapToGrid/>
        <w:spacing w:line="360" w:lineRule="auto"/>
        <w:ind w:firstLine="399" w:firstLineChars="19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4.2履约保证金</w:t>
      </w:r>
      <w:r>
        <w:rPr>
          <w:rFonts w:hint="eastAsia" w:asciiTheme="minorEastAsia" w:hAnsiTheme="minorEastAsia" w:eastAsiaTheme="minorEastAsia" w:cstheme="minorEastAsia"/>
          <w:color w:val="auto"/>
          <w:sz w:val="21"/>
          <w:szCs w:val="21"/>
          <w:highlight w:val="none"/>
          <w:lang w:val="en-US" w:eastAsia="zh-CN"/>
        </w:rPr>
        <w:t>可</w:t>
      </w:r>
      <w:r>
        <w:rPr>
          <w:rFonts w:hint="eastAsia" w:asciiTheme="minorEastAsia" w:hAnsiTheme="minorEastAsia" w:eastAsiaTheme="minorEastAsia" w:cstheme="minorEastAsia"/>
          <w:color w:val="auto"/>
          <w:sz w:val="21"/>
          <w:szCs w:val="21"/>
          <w:highlight w:val="none"/>
        </w:rPr>
        <w:t>用于补偿</w:t>
      </w:r>
      <w:r>
        <w:rPr>
          <w:rFonts w:hint="eastAsia" w:asciiTheme="minorEastAsia" w:hAnsiTheme="minorEastAsia" w:eastAsiaTheme="minorEastAsia" w:cstheme="minorEastAsia"/>
          <w:color w:val="auto"/>
          <w:sz w:val="21"/>
          <w:szCs w:val="21"/>
          <w:highlight w:val="none"/>
          <w:lang w:val="en-US" w:eastAsia="zh-CN"/>
        </w:rPr>
        <w:t>采购人</w:t>
      </w:r>
      <w:r>
        <w:rPr>
          <w:rFonts w:hint="eastAsia" w:asciiTheme="minorEastAsia" w:hAnsiTheme="minorEastAsia" w:eastAsiaTheme="minorEastAsia" w:cstheme="minorEastAsia"/>
          <w:color w:val="auto"/>
          <w:sz w:val="21"/>
          <w:szCs w:val="21"/>
          <w:highlight w:val="none"/>
        </w:rPr>
        <w:t>因</w:t>
      </w:r>
      <w:r>
        <w:rPr>
          <w:rFonts w:hint="eastAsia" w:asciiTheme="minorEastAsia" w:hAnsiTheme="minorEastAsia" w:eastAsiaTheme="minorEastAsia" w:cstheme="minorEastAsia"/>
          <w:color w:val="auto"/>
          <w:sz w:val="21"/>
          <w:szCs w:val="21"/>
          <w:highlight w:val="none"/>
          <w:lang w:val="en-US" w:eastAsia="zh-CN"/>
        </w:rPr>
        <w:t>中标供应商</w:t>
      </w:r>
      <w:r>
        <w:rPr>
          <w:rFonts w:hint="eastAsia" w:asciiTheme="minorEastAsia" w:hAnsiTheme="minorEastAsia" w:eastAsiaTheme="minorEastAsia" w:cstheme="minorEastAsia"/>
          <w:color w:val="auto"/>
          <w:sz w:val="21"/>
          <w:szCs w:val="21"/>
          <w:highlight w:val="none"/>
        </w:rPr>
        <w:t>不能履行其合同义务而蒙受的损失</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中标供应商承担损失后应当及时补足履约保证金</w:t>
      </w:r>
      <w:r>
        <w:rPr>
          <w:rFonts w:hint="eastAsia" w:asciiTheme="minorEastAsia" w:hAnsiTheme="minorEastAsia" w:eastAsiaTheme="minorEastAsia" w:cstheme="minorEastAsia"/>
          <w:color w:val="auto"/>
          <w:sz w:val="21"/>
          <w:szCs w:val="21"/>
          <w:highlight w:val="none"/>
        </w:rPr>
        <w:t>。</w:t>
      </w:r>
    </w:p>
    <w:p w14:paraId="1FBD9ACE">
      <w:pPr>
        <w:keepNext w:val="0"/>
        <w:keepLines w:val="0"/>
        <w:pageBreakBefore w:val="0"/>
        <w:widowControl w:val="0"/>
        <w:shd w:val="clear" w:color="auto" w:fill="auto"/>
        <w:tabs>
          <w:tab w:val="left" w:pos="540"/>
        </w:tabs>
        <w:kinsoku/>
        <w:wordWrap/>
        <w:topLinePunct w:val="0"/>
        <w:bidi w:val="0"/>
        <w:snapToGrid/>
        <w:spacing w:line="360" w:lineRule="auto"/>
        <w:ind w:firstLine="399" w:firstLineChars="19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4.3履约保证金自合同书生效之日起至</w:t>
      </w:r>
      <w:r>
        <w:rPr>
          <w:rFonts w:hint="eastAsia" w:asciiTheme="minorEastAsia" w:hAnsiTheme="minorEastAsia" w:eastAsiaTheme="minorEastAsia" w:cstheme="minorEastAsia"/>
          <w:color w:val="auto"/>
          <w:sz w:val="21"/>
          <w:szCs w:val="21"/>
          <w:highlight w:val="none"/>
          <w:lang w:val="en-US" w:eastAsia="zh-CN"/>
        </w:rPr>
        <w:t>项目服务期</w:t>
      </w:r>
      <w:r>
        <w:rPr>
          <w:rFonts w:hint="eastAsia" w:asciiTheme="minorEastAsia" w:hAnsiTheme="minorEastAsia" w:eastAsiaTheme="minorEastAsia" w:cstheme="minorEastAsia"/>
          <w:color w:val="auto"/>
          <w:sz w:val="21"/>
          <w:szCs w:val="21"/>
          <w:highlight w:val="none"/>
        </w:rPr>
        <w:t>满止有效。如采购人发现</w:t>
      </w:r>
      <w:r>
        <w:rPr>
          <w:rFonts w:hint="eastAsia" w:asciiTheme="minorEastAsia" w:hAnsiTheme="minorEastAsia" w:eastAsiaTheme="minorEastAsia" w:cstheme="minorEastAsia"/>
          <w:color w:val="auto"/>
          <w:sz w:val="21"/>
          <w:szCs w:val="21"/>
          <w:highlight w:val="none"/>
          <w:lang w:eastAsia="zh-CN"/>
        </w:rPr>
        <w:t>中标供应商</w:t>
      </w:r>
      <w:r>
        <w:rPr>
          <w:rFonts w:hint="eastAsia" w:asciiTheme="minorEastAsia" w:hAnsiTheme="minorEastAsia" w:eastAsiaTheme="minorEastAsia" w:cstheme="minorEastAsia"/>
          <w:color w:val="auto"/>
          <w:sz w:val="21"/>
          <w:szCs w:val="21"/>
          <w:highlight w:val="none"/>
        </w:rPr>
        <w:t>存在履约问题，将根据实际情况扣除或部分扣除履约保证金。履约保证金有效期满后，且采购人确认</w:t>
      </w:r>
      <w:r>
        <w:rPr>
          <w:rFonts w:hint="eastAsia" w:asciiTheme="minorEastAsia" w:hAnsiTheme="minorEastAsia" w:eastAsiaTheme="minorEastAsia" w:cstheme="minorEastAsia"/>
          <w:color w:val="auto"/>
          <w:sz w:val="21"/>
          <w:szCs w:val="21"/>
          <w:highlight w:val="none"/>
          <w:lang w:eastAsia="zh-CN"/>
        </w:rPr>
        <w:t>中标供应商</w:t>
      </w:r>
      <w:r>
        <w:rPr>
          <w:rFonts w:hint="eastAsia" w:asciiTheme="minorEastAsia" w:hAnsiTheme="minorEastAsia" w:eastAsiaTheme="minorEastAsia" w:cstheme="minorEastAsia"/>
          <w:color w:val="auto"/>
          <w:sz w:val="21"/>
          <w:szCs w:val="21"/>
          <w:highlight w:val="none"/>
        </w:rPr>
        <w:t>无履约问题后，将剩余履约保证金在20个工作日内无息退还给</w:t>
      </w:r>
      <w:r>
        <w:rPr>
          <w:rFonts w:hint="eastAsia" w:asciiTheme="minorEastAsia" w:hAnsiTheme="minorEastAsia" w:eastAsiaTheme="minorEastAsia" w:cstheme="minorEastAsia"/>
          <w:color w:val="auto"/>
          <w:sz w:val="21"/>
          <w:szCs w:val="21"/>
          <w:highlight w:val="none"/>
          <w:lang w:eastAsia="zh-CN"/>
        </w:rPr>
        <w:t>中标供应商</w:t>
      </w:r>
      <w:r>
        <w:rPr>
          <w:rFonts w:hint="eastAsia" w:asciiTheme="minorEastAsia" w:hAnsiTheme="minorEastAsia" w:eastAsiaTheme="minorEastAsia" w:cstheme="minorEastAsia"/>
          <w:color w:val="auto"/>
          <w:sz w:val="21"/>
          <w:szCs w:val="21"/>
          <w:highlight w:val="none"/>
        </w:rPr>
        <w:t>。</w:t>
      </w:r>
    </w:p>
    <w:p w14:paraId="4DC8D041">
      <w:pPr>
        <w:keepNext w:val="0"/>
        <w:keepLines w:val="0"/>
        <w:pageBreakBefore w:val="0"/>
        <w:widowControl w:val="0"/>
        <w:shd w:val="clear" w:color="auto" w:fill="auto"/>
        <w:tabs>
          <w:tab w:val="left" w:pos="0"/>
        </w:tabs>
        <w:kinsoku/>
        <w:wordWrap/>
        <w:topLinePunct w:val="0"/>
        <w:bidi w:val="0"/>
        <w:snapToGrid/>
        <w:spacing w:line="360" w:lineRule="auto"/>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5.质疑与投诉</w:t>
      </w:r>
    </w:p>
    <w:p w14:paraId="275C5F80">
      <w:pPr>
        <w:keepNext w:val="0"/>
        <w:keepLines w:val="0"/>
        <w:pageBreakBefore w:val="0"/>
        <w:widowControl w:val="0"/>
        <w:shd w:val="clear" w:color="auto" w:fill="auto"/>
        <w:kinsoku/>
        <w:wordWrap/>
        <w:topLinePunct w:val="0"/>
        <w:bidi w:val="0"/>
        <w:snapToGrid/>
        <w:spacing w:line="360" w:lineRule="auto"/>
        <w:ind w:firstLine="399" w:firstLineChars="190"/>
        <w:textAlignment w:val="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rPr>
        <w:t>5.1投标人认为采购文件使自己的权益受到损害的，可以自采购公告期限届满之日内，以书面形式向采购人和采购代理机构提出质疑。质疑投标供应商对采购人、采购代理机构的答复不满意或者采购人、采购代理机构未在规定的时间内作出答复的，可以在答复期满后15个工作日内向采购监督管理部门投诉。</w:t>
      </w:r>
    </w:p>
    <w:p w14:paraId="276A9272">
      <w:pPr>
        <w:keepNext w:val="0"/>
        <w:keepLines w:val="0"/>
        <w:pageBreakBefore w:val="0"/>
        <w:widowControl w:val="0"/>
        <w:shd w:val="clear" w:color="auto" w:fill="auto"/>
        <w:kinsoku/>
        <w:wordWrap/>
        <w:topLinePunct w:val="0"/>
        <w:bidi w:val="0"/>
        <w:snapToGrid/>
        <w:spacing w:line="360" w:lineRule="auto"/>
        <w:ind w:firstLine="399" w:firstLineChars="190"/>
        <w:textAlignment w:val="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rPr>
        <w:t>5.</w:t>
      </w:r>
      <w:bookmarkStart w:id="117" w:name="_Hlk58255193"/>
      <w:r>
        <w:rPr>
          <w:rFonts w:hint="eastAsia" w:asciiTheme="minorEastAsia" w:hAnsiTheme="minorEastAsia" w:eastAsiaTheme="minorEastAsia" w:cstheme="minorEastAsia"/>
          <w:color w:val="auto"/>
          <w:sz w:val="21"/>
          <w:szCs w:val="21"/>
          <w:highlight w:val="none"/>
          <w:u w:val="single"/>
          <w:lang w:val="en-US" w:eastAsia="zh-CN"/>
        </w:rPr>
        <w:t>2</w:t>
      </w:r>
      <w:r>
        <w:rPr>
          <w:rFonts w:hint="eastAsia" w:asciiTheme="minorEastAsia" w:hAnsiTheme="minorEastAsia" w:eastAsiaTheme="minorEastAsia" w:cstheme="minorEastAsia"/>
          <w:color w:val="auto"/>
          <w:sz w:val="21"/>
          <w:szCs w:val="21"/>
          <w:highlight w:val="none"/>
          <w:u w:val="single"/>
          <w:lang w:eastAsia="zh-CN"/>
        </w:rPr>
        <w:t>温州交运集团泰顺有限公司</w:t>
      </w:r>
      <w:r>
        <w:rPr>
          <w:rFonts w:hint="eastAsia" w:asciiTheme="minorEastAsia" w:hAnsiTheme="minorEastAsia" w:eastAsiaTheme="minorEastAsia" w:cstheme="minorEastAsia"/>
          <w:color w:val="auto"/>
          <w:sz w:val="21"/>
          <w:szCs w:val="21"/>
          <w:highlight w:val="none"/>
          <w:u w:val="single"/>
        </w:rPr>
        <w:t>负责对投标人反映的企业本部及所属企业在采购活动中出现的违法违规问题进行投诉回复。投标人认为</w:t>
      </w:r>
      <w:r>
        <w:rPr>
          <w:rFonts w:hint="eastAsia" w:asciiTheme="minorEastAsia" w:hAnsiTheme="minorEastAsia" w:eastAsiaTheme="minorEastAsia" w:cstheme="minorEastAsia"/>
          <w:color w:val="auto"/>
          <w:sz w:val="21"/>
          <w:szCs w:val="21"/>
          <w:highlight w:val="none"/>
          <w:u w:val="single"/>
          <w:lang w:eastAsia="zh-CN"/>
        </w:rPr>
        <w:t>温州交运集团泰顺有限公司</w:t>
      </w:r>
      <w:r>
        <w:rPr>
          <w:rFonts w:hint="eastAsia" w:asciiTheme="minorEastAsia" w:hAnsiTheme="minorEastAsia" w:eastAsiaTheme="minorEastAsia" w:cstheme="minorEastAsia"/>
          <w:color w:val="auto"/>
          <w:sz w:val="21"/>
          <w:szCs w:val="21"/>
          <w:highlight w:val="none"/>
          <w:u w:val="single"/>
        </w:rPr>
        <w:t>投诉回复处理结果不合法的，可以采购人或代理机构为对象依法向人民法院提起诉讼。</w:t>
      </w:r>
      <w:bookmarkEnd w:id="117"/>
    </w:p>
    <w:p w14:paraId="72F651D7">
      <w:pPr>
        <w:keepNext w:val="0"/>
        <w:keepLines w:val="0"/>
        <w:pageBreakBefore w:val="0"/>
        <w:widowControl w:val="0"/>
        <w:shd w:val="clear" w:color="auto" w:fill="auto"/>
        <w:kinsoku/>
        <w:wordWrap/>
        <w:topLinePunct w:val="0"/>
        <w:bidi w:val="0"/>
        <w:snapToGrid/>
        <w:spacing w:line="360" w:lineRule="auto"/>
        <w:ind w:firstLine="399" w:firstLineChars="190"/>
        <w:textAlignment w:val="auto"/>
        <w:rPr>
          <w:rFonts w:hint="eastAsia" w:asciiTheme="minorEastAsia" w:hAnsiTheme="minorEastAsia" w:eastAsiaTheme="minorEastAsia" w:cstheme="minorEastAsia"/>
          <w:color w:val="auto"/>
          <w:sz w:val="21"/>
          <w:szCs w:val="21"/>
          <w:highlight w:val="none"/>
          <w:u w:val="single"/>
        </w:rPr>
      </w:pPr>
      <w:bookmarkStart w:id="118" w:name="_Hlk71387126"/>
      <w:r>
        <w:rPr>
          <w:rFonts w:hint="eastAsia" w:asciiTheme="minorEastAsia" w:hAnsiTheme="minorEastAsia" w:eastAsiaTheme="minorEastAsia" w:cstheme="minorEastAsia"/>
          <w:color w:val="auto"/>
          <w:sz w:val="21"/>
          <w:szCs w:val="21"/>
          <w:highlight w:val="none"/>
          <w:u w:val="single"/>
        </w:rPr>
        <w:t>5.</w:t>
      </w:r>
      <w:r>
        <w:rPr>
          <w:rFonts w:hint="eastAsia" w:asciiTheme="minorEastAsia" w:hAnsiTheme="minorEastAsia" w:eastAsiaTheme="minorEastAsia" w:cstheme="minorEastAsia"/>
          <w:color w:val="auto"/>
          <w:sz w:val="21"/>
          <w:szCs w:val="21"/>
          <w:highlight w:val="none"/>
          <w:u w:val="single"/>
          <w:lang w:val="en-US" w:eastAsia="zh-CN"/>
        </w:rPr>
        <w:t>3</w:t>
      </w:r>
      <w:r>
        <w:rPr>
          <w:rFonts w:hint="eastAsia" w:asciiTheme="minorEastAsia" w:hAnsiTheme="minorEastAsia" w:eastAsiaTheme="minorEastAsia" w:cstheme="minorEastAsia"/>
          <w:color w:val="auto"/>
          <w:sz w:val="21"/>
          <w:szCs w:val="21"/>
          <w:highlight w:val="none"/>
          <w:u w:val="single"/>
        </w:rPr>
        <w:t>投诉人投诉时，应提交投诉书，投诉书应当由本人或法定代表人签字盖公章，投诉书应说明具体的投诉事项及事实依据。投诉人对投诉书的真实性负责，恶意投诉将承当相应的法律和民事责任。</w:t>
      </w:r>
      <w:bookmarkEnd w:id="118"/>
    </w:p>
    <w:p w14:paraId="04956FEC">
      <w:pPr>
        <w:keepNext w:val="0"/>
        <w:keepLines w:val="0"/>
        <w:pageBreakBefore w:val="0"/>
        <w:widowControl w:val="0"/>
        <w:shd w:val="clear" w:color="auto" w:fill="auto"/>
        <w:tabs>
          <w:tab w:val="left" w:pos="0"/>
        </w:tabs>
        <w:kinsoku/>
        <w:wordWrap/>
        <w:topLinePunct w:val="0"/>
        <w:bidi w:val="0"/>
        <w:snapToGrid/>
        <w:spacing w:line="360" w:lineRule="auto"/>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6.采购代理服务费</w:t>
      </w:r>
    </w:p>
    <w:p w14:paraId="2B5B4AA9">
      <w:pPr>
        <w:keepNext w:val="0"/>
        <w:keepLines w:val="0"/>
        <w:pageBreakBefore w:val="0"/>
        <w:widowControl w:val="0"/>
        <w:shd w:val="clear" w:color="auto" w:fill="auto"/>
        <w:kinsoku/>
        <w:wordWrap/>
        <w:topLinePunct w:val="0"/>
        <w:bidi w:val="0"/>
        <w:snapToGrid/>
        <w:spacing w:line="360" w:lineRule="auto"/>
        <w:ind w:firstLine="399" w:firstLineChars="190"/>
        <w:textAlignment w:val="auto"/>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z w:val="21"/>
          <w:szCs w:val="21"/>
          <w:highlight w:val="none"/>
        </w:rPr>
        <w:t>6.1本项目采购代理服务费按固定金额人民币</w:t>
      </w:r>
      <w:r>
        <w:rPr>
          <w:rFonts w:hint="eastAsia" w:asciiTheme="minorEastAsia" w:hAnsiTheme="minorEastAsia" w:eastAsiaTheme="minorEastAsia" w:cstheme="minorEastAsia"/>
          <w:color w:val="auto"/>
          <w:sz w:val="21"/>
          <w:szCs w:val="21"/>
          <w:highlight w:val="none"/>
          <w:lang w:val="en-US" w:eastAsia="zh-CN"/>
        </w:rPr>
        <w:t>陆仟</w:t>
      </w:r>
      <w:r>
        <w:rPr>
          <w:rFonts w:hint="eastAsia" w:asciiTheme="minorEastAsia" w:hAnsiTheme="minorEastAsia" w:eastAsiaTheme="minorEastAsia" w:cstheme="minorEastAsia"/>
          <w:color w:val="auto"/>
          <w:sz w:val="21"/>
          <w:szCs w:val="21"/>
          <w:highlight w:val="none"/>
        </w:rPr>
        <w:t>元整（￥</w:t>
      </w:r>
      <w:r>
        <w:rPr>
          <w:rFonts w:hint="eastAsia" w:asciiTheme="minorEastAsia" w:hAnsiTheme="minorEastAsia" w:eastAsiaTheme="minorEastAsia" w:cstheme="minorEastAsia"/>
          <w:color w:val="auto"/>
          <w:sz w:val="21"/>
          <w:szCs w:val="21"/>
          <w:highlight w:val="none"/>
          <w:lang w:val="en-US" w:eastAsia="zh-CN"/>
        </w:rPr>
        <w:t>60</w:t>
      </w:r>
      <w:r>
        <w:rPr>
          <w:rFonts w:hint="eastAsia" w:asciiTheme="minorEastAsia" w:hAnsiTheme="minorEastAsia" w:eastAsiaTheme="minorEastAsia" w:cstheme="minorEastAsia"/>
          <w:color w:val="auto"/>
          <w:sz w:val="21"/>
          <w:szCs w:val="21"/>
          <w:highlight w:val="none"/>
        </w:rPr>
        <w:t>00.00元）收取，由</w:t>
      </w:r>
      <w:r>
        <w:rPr>
          <w:rFonts w:hint="eastAsia" w:asciiTheme="minorEastAsia" w:hAnsiTheme="minorEastAsia" w:eastAsiaTheme="minorEastAsia" w:cstheme="minorEastAsia"/>
          <w:color w:val="auto"/>
          <w:sz w:val="21"/>
          <w:szCs w:val="21"/>
          <w:highlight w:val="none"/>
          <w:lang w:eastAsia="zh-CN"/>
        </w:rPr>
        <w:t>中标供应商</w:t>
      </w:r>
      <w:r>
        <w:rPr>
          <w:rFonts w:hint="eastAsia" w:asciiTheme="minorEastAsia" w:hAnsiTheme="minorEastAsia" w:eastAsiaTheme="minorEastAsia" w:cstheme="minorEastAsia"/>
          <w:color w:val="auto"/>
          <w:sz w:val="21"/>
          <w:szCs w:val="21"/>
          <w:highlight w:val="none"/>
        </w:rPr>
        <w:t>在领取中标通知书时支付，采购代理费包含在投标总价中综合考虑。</w:t>
      </w:r>
    </w:p>
    <w:p w14:paraId="53B7F4CF">
      <w:pPr>
        <w:keepNext w:val="0"/>
        <w:keepLines w:val="0"/>
        <w:pageBreakBefore w:val="0"/>
        <w:widowControl w:val="0"/>
        <w:shd w:val="clear" w:color="auto" w:fill="auto"/>
        <w:kinsoku/>
        <w:wordWrap/>
        <w:topLinePunct w:val="0"/>
        <w:bidi w:val="0"/>
        <w:snapToGrid/>
        <w:spacing w:line="360" w:lineRule="auto"/>
        <w:ind w:firstLine="399" w:firstLineChars="19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6.2 采购代理服务费可以是现金、支票或汇票</w:t>
      </w:r>
    </w:p>
    <w:p w14:paraId="72DD12FE">
      <w:pPr>
        <w:pStyle w:val="3"/>
        <w:shd w:val="clear" w:color="auto" w:fill="auto"/>
        <w:rPr>
          <w:rFonts w:hint="eastAsia" w:ascii="宋体" w:hAnsi="宋体" w:eastAsia="宋体" w:cs="宋体"/>
          <w:color w:val="auto"/>
          <w:sz w:val="36"/>
          <w:szCs w:val="36"/>
          <w:highlight w:val="none"/>
        </w:rPr>
      </w:pPr>
      <w:r>
        <w:rPr>
          <w:rFonts w:hint="eastAsia" w:ascii="宋体" w:hAnsi="宋体" w:eastAsia="宋体" w:cs="宋体"/>
          <w:color w:val="auto"/>
          <w:sz w:val="22"/>
          <w:szCs w:val="22"/>
          <w:highlight w:val="none"/>
        </w:rPr>
        <w:br w:type="page"/>
      </w:r>
      <w:bookmarkStart w:id="119" w:name="_Toc221356954"/>
      <w:bookmarkStart w:id="120" w:name="_Toc262105506"/>
      <w:bookmarkStart w:id="121" w:name="_Toc239145357"/>
      <w:bookmarkStart w:id="122" w:name="_Toc20738"/>
      <w:bookmarkStart w:id="123" w:name="_Toc241404205"/>
      <w:bookmarkStart w:id="124" w:name="_Toc249758867"/>
      <w:bookmarkStart w:id="125" w:name="_Toc245722284"/>
      <w:bookmarkStart w:id="126" w:name="_Toc262049421"/>
      <w:bookmarkStart w:id="127" w:name="_Toc221423622"/>
      <w:bookmarkStart w:id="128" w:name="_Toc246261268"/>
      <w:bookmarkStart w:id="129" w:name="_Toc249758715"/>
      <w:bookmarkStart w:id="130" w:name="_Toc245191317"/>
      <w:bookmarkStart w:id="131" w:name="_Toc221374629"/>
      <w:bookmarkStart w:id="132" w:name="_Toc221356890"/>
      <w:bookmarkStart w:id="133" w:name="_Toc223716001"/>
      <w:bookmarkStart w:id="134" w:name="_Toc222114882"/>
      <w:r>
        <w:rPr>
          <w:rFonts w:hint="eastAsia" w:ascii="宋体" w:hAnsi="宋体" w:eastAsia="宋体" w:cs="宋体"/>
          <w:color w:val="auto"/>
          <w:sz w:val="36"/>
          <w:szCs w:val="36"/>
          <w:highlight w:val="none"/>
        </w:rPr>
        <w:t>第二部分   合同主要条款</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2C1D1833">
      <w:pPr>
        <w:shd w:val="clear" w:color="auto" w:fill="auto"/>
        <w:rPr>
          <w:rFonts w:hint="eastAsia" w:ascii="宋体" w:hAnsi="宋体" w:eastAsia="宋体" w:cs="宋体"/>
          <w:color w:val="auto"/>
          <w:highlight w:val="none"/>
        </w:rPr>
      </w:pPr>
      <w:bookmarkStart w:id="135" w:name="_Toc221374631"/>
      <w:bookmarkStart w:id="136" w:name="_Toc245191319"/>
      <w:bookmarkStart w:id="137" w:name="_Toc221423624"/>
      <w:bookmarkStart w:id="138" w:name="_Toc221356956"/>
      <w:bookmarkStart w:id="139" w:name="_Toc241404207"/>
      <w:bookmarkStart w:id="140" w:name="_Toc249758870"/>
      <w:bookmarkStart w:id="141" w:name="_Toc246261270"/>
      <w:bookmarkStart w:id="142" w:name="_Toc249758719"/>
      <w:bookmarkStart w:id="143" w:name="_Toc262105509"/>
      <w:bookmarkStart w:id="144" w:name="_Toc239145359"/>
      <w:bookmarkStart w:id="145" w:name="_Toc262049424"/>
      <w:bookmarkStart w:id="146" w:name="_Toc223716003"/>
      <w:bookmarkStart w:id="147" w:name="_Toc222114884"/>
      <w:bookmarkStart w:id="148" w:name="_Toc221356892"/>
      <w:bookmarkStart w:id="149" w:name="_Toc245722286"/>
      <w:bookmarkStart w:id="150" w:name="_Toc249758718"/>
    </w:p>
    <w:p w14:paraId="4827671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517" w:firstLineChars="245"/>
        <w:textAlignment w:val="auto"/>
        <w:rPr>
          <w:rFonts w:hint="eastAsia" w:asciiTheme="minorEastAsia" w:hAnsiTheme="minorEastAsia" w:eastAsiaTheme="minorEastAsia" w:cstheme="minorEastAsia"/>
          <w:b/>
          <w:i w:val="0"/>
          <w:iCs w:val="0"/>
          <w:color w:val="auto"/>
          <w:sz w:val="21"/>
          <w:szCs w:val="21"/>
          <w:highlight w:val="none"/>
        </w:rPr>
      </w:pPr>
      <w:r>
        <w:rPr>
          <w:rFonts w:hint="eastAsia" w:asciiTheme="minorEastAsia" w:hAnsiTheme="minorEastAsia" w:eastAsiaTheme="minorEastAsia" w:cstheme="minorEastAsia"/>
          <w:b/>
          <w:i w:val="0"/>
          <w:iCs w:val="0"/>
          <w:color w:val="auto"/>
          <w:sz w:val="21"/>
          <w:szCs w:val="21"/>
          <w:highlight w:val="none"/>
        </w:rPr>
        <w:t>注：如甲、乙双方同意，合同格式也可以按照其他形式, 具体条款以甲方为主协商确定。但合同条款的基本内容应与以下要求的内容相一致。</w:t>
      </w:r>
    </w:p>
    <w:p w14:paraId="1AE80ECC">
      <w:pPr>
        <w:pStyle w:val="17"/>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甲方：（买方）</w:t>
      </w:r>
    </w:p>
    <w:p w14:paraId="33852A87">
      <w:pPr>
        <w:pStyle w:val="17"/>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乙方：（卖方）</w:t>
      </w:r>
    </w:p>
    <w:p w14:paraId="7CC2BF03">
      <w:pPr>
        <w:pStyle w:val="17"/>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鉴证方：</w:t>
      </w:r>
    </w:p>
    <w:p w14:paraId="736EEF6A">
      <w:pPr>
        <w:pStyle w:val="17"/>
        <w:snapToGrid w:val="0"/>
        <w:spacing w:line="360" w:lineRule="auto"/>
        <w:ind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甲、乙双方根据</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项目（项目编号：</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）公开招标的结果，签署本合同。</w:t>
      </w:r>
    </w:p>
    <w:p w14:paraId="13E6E8FA">
      <w:pPr>
        <w:pStyle w:val="17"/>
        <w:snapToGrid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一、货物名称、型号、规格、配置、技术参数、数量及合同价款</w:t>
      </w:r>
    </w:p>
    <w:tbl>
      <w:tblPr>
        <w:tblStyle w:val="33"/>
        <w:tblW w:w="4997"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626"/>
        <w:gridCol w:w="3155"/>
        <w:gridCol w:w="895"/>
        <w:gridCol w:w="1058"/>
        <w:gridCol w:w="1005"/>
        <w:gridCol w:w="1374"/>
      </w:tblGrid>
      <w:tr w14:paraId="68BC11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375" w:type="pct"/>
            <w:tcBorders>
              <w:tl2br w:val="nil"/>
              <w:tr2bl w:val="nil"/>
            </w:tcBorders>
            <w:noWrap w:val="0"/>
            <w:vAlign w:val="center"/>
          </w:tcPr>
          <w:p w14:paraId="53A3CE91">
            <w:pPr>
              <w:pStyle w:val="17"/>
              <w:keepNext w:val="0"/>
              <w:keepLines w:val="0"/>
              <w:pageBreakBefore w:val="0"/>
              <w:widowControl/>
              <w:kinsoku/>
              <w:wordWrap/>
              <w:overflowPunct w:val="0"/>
              <w:topLinePunct w:val="0"/>
              <w:autoSpaceDE w:val="0"/>
              <w:autoSpaceDN w:val="0"/>
              <w:bidi w:val="0"/>
              <w:adjustRightInd w:val="0"/>
              <w:snapToGrid/>
              <w:spacing w:before="60" w:after="60" w:line="240" w:lineRule="auto"/>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825" w:type="pct"/>
            <w:tcBorders>
              <w:tl2br w:val="nil"/>
              <w:tr2bl w:val="nil"/>
            </w:tcBorders>
            <w:noWrap w:val="0"/>
            <w:vAlign w:val="center"/>
          </w:tcPr>
          <w:p w14:paraId="5411480D">
            <w:pPr>
              <w:pStyle w:val="17"/>
              <w:keepNext w:val="0"/>
              <w:keepLines w:val="0"/>
              <w:pageBreakBefore w:val="0"/>
              <w:widowControl/>
              <w:kinsoku/>
              <w:wordWrap/>
              <w:overflowPunct w:val="0"/>
              <w:topLinePunct w:val="0"/>
              <w:autoSpaceDE w:val="0"/>
              <w:autoSpaceDN w:val="0"/>
              <w:bidi w:val="0"/>
              <w:adjustRightInd w:val="0"/>
              <w:snapToGrid/>
              <w:spacing w:before="60" w:after="60" w:line="240" w:lineRule="auto"/>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货物名称</w:t>
            </w:r>
          </w:p>
        </w:tc>
        <w:tc>
          <w:tcPr>
            <w:tcW w:w="1601" w:type="pct"/>
            <w:tcBorders>
              <w:tl2br w:val="nil"/>
              <w:tr2bl w:val="nil"/>
            </w:tcBorders>
            <w:noWrap w:val="0"/>
            <w:vAlign w:val="center"/>
          </w:tcPr>
          <w:p w14:paraId="1B08D181">
            <w:pPr>
              <w:pStyle w:val="17"/>
              <w:keepNext w:val="0"/>
              <w:keepLines w:val="0"/>
              <w:pageBreakBefore w:val="0"/>
              <w:widowControl/>
              <w:kinsoku/>
              <w:wordWrap/>
              <w:overflowPunct w:val="0"/>
              <w:topLinePunct w:val="0"/>
              <w:autoSpaceDE w:val="0"/>
              <w:autoSpaceDN w:val="0"/>
              <w:bidi w:val="0"/>
              <w:adjustRightInd w:val="0"/>
              <w:snapToGrid/>
              <w:spacing w:before="60" w:after="60" w:line="240" w:lineRule="auto"/>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型号规格配置</w:t>
            </w:r>
          </w:p>
          <w:p w14:paraId="500EB49A">
            <w:pPr>
              <w:pStyle w:val="17"/>
              <w:keepNext w:val="0"/>
              <w:keepLines w:val="0"/>
              <w:pageBreakBefore w:val="0"/>
              <w:widowControl/>
              <w:kinsoku/>
              <w:wordWrap/>
              <w:overflowPunct w:val="0"/>
              <w:topLinePunct w:val="0"/>
              <w:autoSpaceDE w:val="0"/>
              <w:autoSpaceDN w:val="0"/>
              <w:bidi w:val="0"/>
              <w:adjustRightInd w:val="0"/>
              <w:snapToGrid/>
              <w:spacing w:before="60" w:after="60" w:line="240" w:lineRule="auto"/>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及技术参数</w:t>
            </w:r>
          </w:p>
        </w:tc>
        <w:tc>
          <w:tcPr>
            <w:tcW w:w="453" w:type="pct"/>
            <w:tcBorders>
              <w:tl2br w:val="nil"/>
              <w:tr2bl w:val="nil"/>
            </w:tcBorders>
            <w:noWrap w:val="0"/>
            <w:vAlign w:val="center"/>
          </w:tcPr>
          <w:p w14:paraId="08F3DC23">
            <w:pPr>
              <w:pStyle w:val="17"/>
              <w:keepNext w:val="0"/>
              <w:keepLines w:val="0"/>
              <w:pageBreakBefore w:val="0"/>
              <w:widowControl/>
              <w:kinsoku/>
              <w:wordWrap/>
              <w:overflowPunct w:val="0"/>
              <w:topLinePunct w:val="0"/>
              <w:autoSpaceDE w:val="0"/>
              <w:autoSpaceDN w:val="0"/>
              <w:bidi w:val="0"/>
              <w:adjustRightInd w:val="0"/>
              <w:snapToGrid/>
              <w:spacing w:before="60" w:after="60" w:line="240" w:lineRule="auto"/>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单价(元)</w:t>
            </w:r>
          </w:p>
        </w:tc>
        <w:tc>
          <w:tcPr>
            <w:tcW w:w="537" w:type="pct"/>
            <w:tcBorders>
              <w:tl2br w:val="nil"/>
              <w:tr2bl w:val="nil"/>
            </w:tcBorders>
            <w:noWrap w:val="0"/>
            <w:vAlign w:val="center"/>
          </w:tcPr>
          <w:p w14:paraId="62B455B4">
            <w:pPr>
              <w:pStyle w:val="17"/>
              <w:keepNext w:val="0"/>
              <w:keepLines w:val="0"/>
              <w:pageBreakBefore w:val="0"/>
              <w:widowControl/>
              <w:kinsoku/>
              <w:wordWrap/>
              <w:overflowPunct w:val="0"/>
              <w:topLinePunct w:val="0"/>
              <w:autoSpaceDE w:val="0"/>
              <w:autoSpaceDN w:val="0"/>
              <w:bidi w:val="0"/>
              <w:adjustRightInd w:val="0"/>
              <w:snapToGrid/>
              <w:spacing w:before="60" w:after="60" w:line="240" w:lineRule="auto"/>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数量(台)</w:t>
            </w:r>
          </w:p>
        </w:tc>
        <w:tc>
          <w:tcPr>
            <w:tcW w:w="509" w:type="pct"/>
            <w:tcBorders>
              <w:tl2br w:val="nil"/>
              <w:tr2bl w:val="nil"/>
            </w:tcBorders>
            <w:noWrap w:val="0"/>
            <w:vAlign w:val="center"/>
          </w:tcPr>
          <w:p w14:paraId="0B393E6C">
            <w:pPr>
              <w:pStyle w:val="17"/>
              <w:keepNext w:val="0"/>
              <w:keepLines w:val="0"/>
              <w:pageBreakBefore w:val="0"/>
              <w:widowControl/>
              <w:kinsoku/>
              <w:wordWrap/>
              <w:overflowPunct w:val="0"/>
              <w:topLinePunct w:val="0"/>
              <w:autoSpaceDE w:val="0"/>
              <w:autoSpaceDN w:val="0"/>
              <w:bidi w:val="0"/>
              <w:adjustRightInd w:val="0"/>
              <w:snapToGrid/>
              <w:spacing w:before="60" w:after="60" w:line="240" w:lineRule="auto"/>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合价(元)</w:t>
            </w:r>
          </w:p>
        </w:tc>
        <w:tc>
          <w:tcPr>
            <w:tcW w:w="696" w:type="pct"/>
            <w:tcBorders>
              <w:tl2br w:val="nil"/>
              <w:tr2bl w:val="nil"/>
            </w:tcBorders>
            <w:noWrap w:val="0"/>
            <w:vAlign w:val="center"/>
          </w:tcPr>
          <w:p w14:paraId="64F6DEDC">
            <w:pPr>
              <w:pStyle w:val="17"/>
              <w:keepNext w:val="0"/>
              <w:keepLines w:val="0"/>
              <w:pageBreakBefore w:val="0"/>
              <w:widowControl/>
              <w:kinsoku/>
              <w:wordWrap/>
              <w:overflowPunct w:val="0"/>
              <w:topLinePunct w:val="0"/>
              <w:autoSpaceDE w:val="0"/>
              <w:autoSpaceDN w:val="0"/>
              <w:bidi w:val="0"/>
              <w:adjustRightInd w:val="0"/>
              <w:snapToGrid/>
              <w:spacing w:before="60" w:after="60" w:line="240" w:lineRule="auto"/>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1BB139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5" w:type="pct"/>
            <w:tcBorders>
              <w:tl2br w:val="nil"/>
              <w:tr2bl w:val="nil"/>
            </w:tcBorders>
            <w:noWrap w:val="0"/>
            <w:vAlign w:val="center"/>
          </w:tcPr>
          <w:p w14:paraId="001471E3">
            <w:pPr>
              <w:pStyle w:val="17"/>
              <w:keepNext w:val="0"/>
              <w:keepLines w:val="0"/>
              <w:pageBreakBefore w:val="0"/>
              <w:widowControl/>
              <w:kinsoku/>
              <w:wordWrap/>
              <w:overflowPunct w:val="0"/>
              <w:topLinePunct w:val="0"/>
              <w:autoSpaceDE w:val="0"/>
              <w:autoSpaceDN w:val="0"/>
              <w:bidi w:val="0"/>
              <w:adjustRightInd w:val="0"/>
              <w:snapToGrid/>
              <w:spacing w:before="60" w:after="60" w:line="240" w:lineRule="auto"/>
              <w:ind w:firstLine="550" w:firstLineChars="250"/>
              <w:jc w:val="center"/>
              <w:textAlignment w:val="baseline"/>
              <w:rPr>
                <w:rFonts w:hint="eastAsia" w:ascii="宋体" w:hAnsi="宋体" w:eastAsia="宋体" w:cs="宋体"/>
                <w:color w:val="auto"/>
                <w:sz w:val="22"/>
                <w:szCs w:val="22"/>
                <w:highlight w:val="none"/>
              </w:rPr>
            </w:pPr>
          </w:p>
        </w:tc>
        <w:tc>
          <w:tcPr>
            <w:tcW w:w="825" w:type="pct"/>
            <w:tcBorders>
              <w:tl2br w:val="nil"/>
              <w:tr2bl w:val="nil"/>
            </w:tcBorders>
            <w:noWrap w:val="0"/>
            <w:vAlign w:val="center"/>
          </w:tcPr>
          <w:p w14:paraId="7E9B8B0C">
            <w:pPr>
              <w:pStyle w:val="17"/>
              <w:keepNext w:val="0"/>
              <w:keepLines w:val="0"/>
              <w:pageBreakBefore w:val="0"/>
              <w:widowControl/>
              <w:kinsoku/>
              <w:wordWrap/>
              <w:overflowPunct w:val="0"/>
              <w:topLinePunct w:val="0"/>
              <w:autoSpaceDE w:val="0"/>
              <w:autoSpaceDN w:val="0"/>
              <w:bidi w:val="0"/>
              <w:adjustRightInd w:val="0"/>
              <w:snapToGrid/>
              <w:spacing w:before="60" w:after="60" w:line="240" w:lineRule="auto"/>
              <w:ind w:firstLine="550" w:firstLineChars="250"/>
              <w:jc w:val="center"/>
              <w:textAlignment w:val="baseline"/>
              <w:rPr>
                <w:rFonts w:hint="eastAsia" w:ascii="宋体" w:hAnsi="宋体" w:eastAsia="宋体" w:cs="宋体"/>
                <w:color w:val="auto"/>
                <w:sz w:val="22"/>
                <w:szCs w:val="22"/>
                <w:highlight w:val="none"/>
              </w:rPr>
            </w:pPr>
          </w:p>
        </w:tc>
        <w:tc>
          <w:tcPr>
            <w:tcW w:w="1601" w:type="pct"/>
            <w:tcBorders>
              <w:tl2br w:val="nil"/>
              <w:tr2bl w:val="nil"/>
            </w:tcBorders>
            <w:noWrap w:val="0"/>
            <w:vAlign w:val="center"/>
          </w:tcPr>
          <w:p w14:paraId="4F4C5176">
            <w:pPr>
              <w:pStyle w:val="17"/>
              <w:keepNext w:val="0"/>
              <w:keepLines w:val="0"/>
              <w:pageBreakBefore w:val="0"/>
              <w:widowControl/>
              <w:kinsoku/>
              <w:wordWrap/>
              <w:overflowPunct w:val="0"/>
              <w:topLinePunct w:val="0"/>
              <w:autoSpaceDE w:val="0"/>
              <w:autoSpaceDN w:val="0"/>
              <w:bidi w:val="0"/>
              <w:adjustRightInd w:val="0"/>
              <w:snapToGrid/>
              <w:spacing w:before="60" w:after="60" w:line="240" w:lineRule="auto"/>
              <w:ind w:firstLine="550" w:firstLineChars="250"/>
              <w:jc w:val="center"/>
              <w:textAlignment w:val="baseline"/>
              <w:rPr>
                <w:rFonts w:hint="eastAsia" w:ascii="宋体" w:hAnsi="宋体" w:eastAsia="宋体" w:cs="宋体"/>
                <w:color w:val="auto"/>
                <w:sz w:val="22"/>
                <w:szCs w:val="22"/>
                <w:highlight w:val="none"/>
              </w:rPr>
            </w:pPr>
          </w:p>
        </w:tc>
        <w:tc>
          <w:tcPr>
            <w:tcW w:w="453" w:type="pct"/>
            <w:tcBorders>
              <w:tl2br w:val="nil"/>
              <w:tr2bl w:val="nil"/>
            </w:tcBorders>
            <w:noWrap w:val="0"/>
            <w:vAlign w:val="center"/>
          </w:tcPr>
          <w:p w14:paraId="603C0692">
            <w:pPr>
              <w:pStyle w:val="17"/>
              <w:keepNext w:val="0"/>
              <w:keepLines w:val="0"/>
              <w:pageBreakBefore w:val="0"/>
              <w:widowControl/>
              <w:kinsoku/>
              <w:wordWrap/>
              <w:overflowPunct w:val="0"/>
              <w:topLinePunct w:val="0"/>
              <w:autoSpaceDE w:val="0"/>
              <w:autoSpaceDN w:val="0"/>
              <w:bidi w:val="0"/>
              <w:adjustRightInd w:val="0"/>
              <w:snapToGrid/>
              <w:spacing w:before="60" w:after="60" w:line="240" w:lineRule="auto"/>
              <w:ind w:firstLine="550" w:firstLineChars="250"/>
              <w:jc w:val="center"/>
              <w:textAlignment w:val="baseline"/>
              <w:rPr>
                <w:rFonts w:hint="eastAsia" w:ascii="宋体" w:hAnsi="宋体" w:eastAsia="宋体" w:cs="宋体"/>
                <w:color w:val="auto"/>
                <w:sz w:val="22"/>
                <w:szCs w:val="22"/>
                <w:highlight w:val="none"/>
              </w:rPr>
            </w:pPr>
          </w:p>
        </w:tc>
        <w:tc>
          <w:tcPr>
            <w:tcW w:w="537" w:type="pct"/>
            <w:tcBorders>
              <w:tl2br w:val="nil"/>
              <w:tr2bl w:val="nil"/>
            </w:tcBorders>
            <w:noWrap w:val="0"/>
            <w:vAlign w:val="center"/>
          </w:tcPr>
          <w:p w14:paraId="31C44B21">
            <w:pPr>
              <w:pStyle w:val="17"/>
              <w:keepNext w:val="0"/>
              <w:keepLines w:val="0"/>
              <w:pageBreakBefore w:val="0"/>
              <w:widowControl/>
              <w:kinsoku/>
              <w:wordWrap/>
              <w:overflowPunct w:val="0"/>
              <w:topLinePunct w:val="0"/>
              <w:autoSpaceDE w:val="0"/>
              <w:autoSpaceDN w:val="0"/>
              <w:bidi w:val="0"/>
              <w:adjustRightInd w:val="0"/>
              <w:snapToGrid/>
              <w:spacing w:before="60" w:after="60" w:line="240" w:lineRule="auto"/>
              <w:ind w:firstLine="550" w:firstLineChars="250"/>
              <w:jc w:val="center"/>
              <w:textAlignment w:val="baseline"/>
              <w:rPr>
                <w:rFonts w:hint="eastAsia" w:ascii="宋体" w:hAnsi="宋体" w:eastAsia="宋体" w:cs="宋体"/>
                <w:color w:val="auto"/>
                <w:sz w:val="22"/>
                <w:szCs w:val="22"/>
                <w:highlight w:val="none"/>
              </w:rPr>
            </w:pPr>
          </w:p>
        </w:tc>
        <w:tc>
          <w:tcPr>
            <w:tcW w:w="509" w:type="pct"/>
            <w:tcBorders>
              <w:tl2br w:val="nil"/>
              <w:tr2bl w:val="nil"/>
            </w:tcBorders>
            <w:noWrap w:val="0"/>
            <w:vAlign w:val="center"/>
          </w:tcPr>
          <w:p w14:paraId="69CA196F">
            <w:pPr>
              <w:pStyle w:val="17"/>
              <w:keepNext w:val="0"/>
              <w:keepLines w:val="0"/>
              <w:pageBreakBefore w:val="0"/>
              <w:widowControl/>
              <w:kinsoku/>
              <w:wordWrap/>
              <w:overflowPunct w:val="0"/>
              <w:topLinePunct w:val="0"/>
              <w:autoSpaceDE w:val="0"/>
              <w:autoSpaceDN w:val="0"/>
              <w:bidi w:val="0"/>
              <w:adjustRightInd w:val="0"/>
              <w:snapToGrid/>
              <w:spacing w:before="60" w:after="60" w:line="240" w:lineRule="auto"/>
              <w:ind w:firstLine="550" w:firstLineChars="250"/>
              <w:jc w:val="center"/>
              <w:textAlignment w:val="baseline"/>
              <w:rPr>
                <w:rFonts w:hint="eastAsia" w:ascii="宋体" w:hAnsi="宋体" w:eastAsia="宋体" w:cs="宋体"/>
                <w:color w:val="auto"/>
                <w:sz w:val="22"/>
                <w:szCs w:val="22"/>
                <w:highlight w:val="none"/>
              </w:rPr>
            </w:pPr>
          </w:p>
        </w:tc>
        <w:tc>
          <w:tcPr>
            <w:tcW w:w="696" w:type="pct"/>
            <w:tcBorders>
              <w:tl2br w:val="nil"/>
              <w:tr2bl w:val="nil"/>
            </w:tcBorders>
            <w:noWrap w:val="0"/>
            <w:vAlign w:val="center"/>
          </w:tcPr>
          <w:p w14:paraId="5367F554">
            <w:pPr>
              <w:pStyle w:val="17"/>
              <w:keepNext w:val="0"/>
              <w:keepLines w:val="0"/>
              <w:pageBreakBefore w:val="0"/>
              <w:widowControl/>
              <w:kinsoku/>
              <w:wordWrap/>
              <w:overflowPunct w:val="0"/>
              <w:topLinePunct w:val="0"/>
              <w:autoSpaceDE w:val="0"/>
              <w:autoSpaceDN w:val="0"/>
              <w:bidi w:val="0"/>
              <w:adjustRightInd w:val="0"/>
              <w:snapToGrid/>
              <w:spacing w:before="60" w:after="60" w:line="240" w:lineRule="auto"/>
              <w:ind w:firstLine="550" w:firstLineChars="250"/>
              <w:jc w:val="center"/>
              <w:textAlignment w:val="baseline"/>
              <w:rPr>
                <w:rFonts w:hint="eastAsia" w:ascii="宋体" w:hAnsi="宋体" w:eastAsia="宋体" w:cs="宋体"/>
                <w:color w:val="auto"/>
                <w:sz w:val="22"/>
                <w:szCs w:val="22"/>
                <w:highlight w:val="none"/>
              </w:rPr>
            </w:pPr>
          </w:p>
        </w:tc>
      </w:tr>
      <w:tr w14:paraId="7E975F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5" w:type="pct"/>
            <w:tcBorders>
              <w:tl2br w:val="nil"/>
              <w:tr2bl w:val="nil"/>
            </w:tcBorders>
            <w:noWrap w:val="0"/>
            <w:vAlign w:val="center"/>
          </w:tcPr>
          <w:p w14:paraId="64562E13">
            <w:pPr>
              <w:pStyle w:val="17"/>
              <w:keepNext w:val="0"/>
              <w:keepLines w:val="0"/>
              <w:pageBreakBefore w:val="0"/>
              <w:widowControl/>
              <w:kinsoku/>
              <w:wordWrap/>
              <w:overflowPunct w:val="0"/>
              <w:topLinePunct w:val="0"/>
              <w:autoSpaceDE w:val="0"/>
              <w:autoSpaceDN w:val="0"/>
              <w:bidi w:val="0"/>
              <w:adjustRightInd w:val="0"/>
              <w:snapToGrid/>
              <w:spacing w:before="60" w:after="60" w:line="240" w:lineRule="auto"/>
              <w:ind w:firstLine="550" w:firstLineChars="250"/>
              <w:jc w:val="center"/>
              <w:textAlignment w:val="baseline"/>
              <w:rPr>
                <w:rFonts w:hint="eastAsia" w:ascii="宋体" w:hAnsi="宋体" w:eastAsia="宋体" w:cs="宋体"/>
                <w:color w:val="auto"/>
                <w:sz w:val="22"/>
                <w:szCs w:val="22"/>
                <w:highlight w:val="none"/>
              </w:rPr>
            </w:pPr>
          </w:p>
        </w:tc>
        <w:tc>
          <w:tcPr>
            <w:tcW w:w="825" w:type="pct"/>
            <w:tcBorders>
              <w:tl2br w:val="nil"/>
              <w:tr2bl w:val="nil"/>
            </w:tcBorders>
            <w:noWrap w:val="0"/>
            <w:vAlign w:val="center"/>
          </w:tcPr>
          <w:p w14:paraId="029F016E">
            <w:pPr>
              <w:pStyle w:val="17"/>
              <w:keepNext w:val="0"/>
              <w:keepLines w:val="0"/>
              <w:pageBreakBefore w:val="0"/>
              <w:widowControl/>
              <w:kinsoku/>
              <w:wordWrap/>
              <w:overflowPunct w:val="0"/>
              <w:topLinePunct w:val="0"/>
              <w:autoSpaceDE w:val="0"/>
              <w:autoSpaceDN w:val="0"/>
              <w:bidi w:val="0"/>
              <w:adjustRightInd w:val="0"/>
              <w:snapToGrid/>
              <w:spacing w:before="60" w:after="60" w:line="240" w:lineRule="auto"/>
              <w:ind w:firstLine="550" w:firstLineChars="250"/>
              <w:jc w:val="center"/>
              <w:textAlignment w:val="baseline"/>
              <w:rPr>
                <w:rFonts w:hint="eastAsia" w:ascii="宋体" w:hAnsi="宋体" w:eastAsia="宋体" w:cs="宋体"/>
                <w:color w:val="auto"/>
                <w:sz w:val="22"/>
                <w:szCs w:val="22"/>
                <w:highlight w:val="none"/>
              </w:rPr>
            </w:pPr>
          </w:p>
        </w:tc>
        <w:tc>
          <w:tcPr>
            <w:tcW w:w="1601" w:type="pct"/>
            <w:tcBorders>
              <w:tl2br w:val="nil"/>
              <w:tr2bl w:val="nil"/>
            </w:tcBorders>
            <w:noWrap w:val="0"/>
            <w:vAlign w:val="center"/>
          </w:tcPr>
          <w:p w14:paraId="193EED08">
            <w:pPr>
              <w:pStyle w:val="17"/>
              <w:keepNext w:val="0"/>
              <w:keepLines w:val="0"/>
              <w:pageBreakBefore w:val="0"/>
              <w:widowControl/>
              <w:kinsoku/>
              <w:wordWrap/>
              <w:overflowPunct w:val="0"/>
              <w:topLinePunct w:val="0"/>
              <w:autoSpaceDE w:val="0"/>
              <w:autoSpaceDN w:val="0"/>
              <w:bidi w:val="0"/>
              <w:adjustRightInd w:val="0"/>
              <w:snapToGrid/>
              <w:spacing w:before="60" w:after="60" w:line="240" w:lineRule="auto"/>
              <w:ind w:firstLine="550" w:firstLineChars="250"/>
              <w:jc w:val="center"/>
              <w:textAlignment w:val="baseline"/>
              <w:rPr>
                <w:rFonts w:hint="eastAsia" w:ascii="宋体" w:hAnsi="宋体" w:eastAsia="宋体" w:cs="宋体"/>
                <w:color w:val="auto"/>
                <w:sz w:val="22"/>
                <w:szCs w:val="22"/>
                <w:highlight w:val="none"/>
              </w:rPr>
            </w:pPr>
          </w:p>
        </w:tc>
        <w:tc>
          <w:tcPr>
            <w:tcW w:w="453" w:type="pct"/>
            <w:tcBorders>
              <w:tl2br w:val="nil"/>
              <w:tr2bl w:val="nil"/>
            </w:tcBorders>
            <w:noWrap w:val="0"/>
            <w:vAlign w:val="center"/>
          </w:tcPr>
          <w:p w14:paraId="368EBF0A">
            <w:pPr>
              <w:pStyle w:val="17"/>
              <w:keepNext w:val="0"/>
              <w:keepLines w:val="0"/>
              <w:pageBreakBefore w:val="0"/>
              <w:widowControl/>
              <w:kinsoku/>
              <w:wordWrap/>
              <w:overflowPunct w:val="0"/>
              <w:topLinePunct w:val="0"/>
              <w:autoSpaceDE w:val="0"/>
              <w:autoSpaceDN w:val="0"/>
              <w:bidi w:val="0"/>
              <w:adjustRightInd w:val="0"/>
              <w:snapToGrid/>
              <w:spacing w:before="60" w:after="60" w:line="240" w:lineRule="auto"/>
              <w:ind w:firstLine="550" w:firstLineChars="250"/>
              <w:jc w:val="center"/>
              <w:textAlignment w:val="baseline"/>
              <w:rPr>
                <w:rFonts w:hint="eastAsia" w:ascii="宋体" w:hAnsi="宋体" w:eastAsia="宋体" w:cs="宋体"/>
                <w:color w:val="auto"/>
                <w:sz w:val="22"/>
                <w:szCs w:val="22"/>
                <w:highlight w:val="none"/>
              </w:rPr>
            </w:pPr>
          </w:p>
        </w:tc>
        <w:tc>
          <w:tcPr>
            <w:tcW w:w="537" w:type="pct"/>
            <w:tcBorders>
              <w:tl2br w:val="nil"/>
              <w:tr2bl w:val="nil"/>
            </w:tcBorders>
            <w:noWrap w:val="0"/>
            <w:vAlign w:val="center"/>
          </w:tcPr>
          <w:p w14:paraId="2F6E5AD3">
            <w:pPr>
              <w:pStyle w:val="17"/>
              <w:keepNext w:val="0"/>
              <w:keepLines w:val="0"/>
              <w:pageBreakBefore w:val="0"/>
              <w:widowControl/>
              <w:kinsoku/>
              <w:wordWrap/>
              <w:overflowPunct w:val="0"/>
              <w:topLinePunct w:val="0"/>
              <w:autoSpaceDE w:val="0"/>
              <w:autoSpaceDN w:val="0"/>
              <w:bidi w:val="0"/>
              <w:adjustRightInd w:val="0"/>
              <w:snapToGrid/>
              <w:spacing w:before="60" w:after="60" w:line="240" w:lineRule="auto"/>
              <w:ind w:firstLine="550" w:firstLineChars="250"/>
              <w:jc w:val="center"/>
              <w:textAlignment w:val="baseline"/>
              <w:rPr>
                <w:rFonts w:hint="eastAsia" w:ascii="宋体" w:hAnsi="宋体" w:eastAsia="宋体" w:cs="宋体"/>
                <w:color w:val="auto"/>
                <w:sz w:val="22"/>
                <w:szCs w:val="22"/>
                <w:highlight w:val="none"/>
              </w:rPr>
            </w:pPr>
          </w:p>
        </w:tc>
        <w:tc>
          <w:tcPr>
            <w:tcW w:w="509" w:type="pct"/>
            <w:tcBorders>
              <w:tl2br w:val="nil"/>
              <w:tr2bl w:val="nil"/>
            </w:tcBorders>
            <w:noWrap w:val="0"/>
            <w:vAlign w:val="center"/>
          </w:tcPr>
          <w:p w14:paraId="7C0725AD">
            <w:pPr>
              <w:pStyle w:val="17"/>
              <w:keepNext w:val="0"/>
              <w:keepLines w:val="0"/>
              <w:pageBreakBefore w:val="0"/>
              <w:widowControl/>
              <w:kinsoku/>
              <w:wordWrap/>
              <w:overflowPunct w:val="0"/>
              <w:topLinePunct w:val="0"/>
              <w:autoSpaceDE w:val="0"/>
              <w:autoSpaceDN w:val="0"/>
              <w:bidi w:val="0"/>
              <w:adjustRightInd w:val="0"/>
              <w:snapToGrid/>
              <w:spacing w:before="60" w:after="60" w:line="240" w:lineRule="auto"/>
              <w:ind w:firstLine="550" w:firstLineChars="250"/>
              <w:jc w:val="center"/>
              <w:textAlignment w:val="baseline"/>
              <w:rPr>
                <w:rFonts w:hint="eastAsia" w:ascii="宋体" w:hAnsi="宋体" w:eastAsia="宋体" w:cs="宋体"/>
                <w:color w:val="auto"/>
                <w:sz w:val="22"/>
                <w:szCs w:val="22"/>
                <w:highlight w:val="none"/>
              </w:rPr>
            </w:pPr>
          </w:p>
        </w:tc>
        <w:tc>
          <w:tcPr>
            <w:tcW w:w="696" w:type="pct"/>
            <w:tcBorders>
              <w:tl2br w:val="nil"/>
              <w:tr2bl w:val="nil"/>
            </w:tcBorders>
            <w:noWrap w:val="0"/>
            <w:vAlign w:val="center"/>
          </w:tcPr>
          <w:p w14:paraId="7677D01F">
            <w:pPr>
              <w:pStyle w:val="17"/>
              <w:keepNext w:val="0"/>
              <w:keepLines w:val="0"/>
              <w:pageBreakBefore w:val="0"/>
              <w:widowControl/>
              <w:kinsoku/>
              <w:wordWrap/>
              <w:overflowPunct w:val="0"/>
              <w:topLinePunct w:val="0"/>
              <w:autoSpaceDE w:val="0"/>
              <w:autoSpaceDN w:val="0"/>
              <w:bidi w:val="0"/>
              <w:adjustRightInd w:val="0"/>
              <w:snapToGrid/>
              <w:spacing w:before="60" w:after="60" w:line="240" w:lineRule="auto"/>
              <w:ind w:firstLine="550" w:firstLineChars="250"/>
              <w:jc w:val="center"/>
              <w:textAlignment w:val="baseline"/>
              <w:rPr>
                <w:rFonts w:hint="eastAsia" w:ascii="宋体" w:hAnsi="宋体" w:eastAsia="宋体" w:cs="宋体"/>
                <w:color w:val="auto"/>
                <w:sz w:val="22"/>
                <w:szCs w:val="22"/>
                <w:highlight w:val="none"/>
              </w:rPr>
            </w:pPr>
          </w:p>
        </w:tc>
      </w:tr>
      <w:tr w14:paraId="22AAC5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255" w:type="pct"/>
            <w:gridSpan w:val="4"/>
            <w:tcBorders>
              <w:tl2br w:val="nil"/>
              <w:tr2bl w:val="nil"/>
            </w:tcBorders>
            <w:noWrap w:val="0"/>
            <w:vAlign w:val="center"/>
          </w:tcPr>
          <w:p w14:paraId="70AE6932">
            <w:pPr>
              <w:pStyle w:val="17"/>
              <w:keepNext w:val="0"/>
              <w:keepLines w:val="0"/>
              <w:pageBreakBefore w:val="0"/>
              <w:widowControl/>
              <w:kinsoku/>
              <w:wordWrap/>
              <w:overflowPunct w:val="0"/>
              <w:topLinePunct w:val="0"/>
              <w:autoSpaceDE w:val="0"/>
              <w:autoSpaceDN w:val="0"/>
              <w:bidi w:val="0"/>
              <w:adjustRightInd w:val="0"/>
              <w:snapToGrid/>
              <w:spacing w:before="60" w:after="60" w:line="240" w:lineRule="auto"/>
              <w:ind w:firstLine="550" w:firstLineChars="25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合计</w:t>
            </w:r>
          </w:p>
        </w:tc>
        <w:tc>
          <w:tcPr>
            <w:tcW w:w="1047" w:type="pct"/>
            <w:gridSpan w:val="2"/>
            <w:tcBorders>
              <w:tl2br w:val="nil"/>
              <w:tr2bl w:val="nil"/>
            </w:tcBorders>
            <w:noWrap w:val="0"/>
            <w:vAlign w:val="center"/>
          </w:tcPr>
          <w:p w14:paraId="18F287DF">
            <w:pPr>
              <w:pStyle w:val="17"/>
              <w:keepNext w:val="0"/>
              <w:keepLines w:val="0"/>
              <w:pageBreakBefore w:val="0"/>
              <w:widowControl/>
              <w:kinsoku/>
              <w:wordWrap/>
              <w:overflowPunct w:val="0"/>
              <w:topLinePunct w:val="0"/>
              <w:autoSpaceDE w:val="0"/>
              <w:autoSpaceDN w:val="0"/>
              <w:bidi w:val="0"/>
              <w:adjustRightInd w:val="0"/>
              <w:snapToGrid/>
              <w:spacing w:before="60" w:after="60" w:line="240" w:lineRule="auto"/>
              <w:ind w:firstLine="550" w:firstLineChars="250"/>
              <w:jc w:val="center"/>
              <w:textAlignment w:val="baseline"/>
              <w:rPr>
                <w:rFonts w:hint="eastAsia" w:ascii="宋体" w:hAnsi="宋体" w:eastAsia="宋体" w:cs="宋体"/>
                <w:color w:val="auto"/>
                <w:sz w:val="22"/>
                <w:szCs w:val="22"/>
                <w:highlight w:val="none"/>
              </w:rPr>
            </w:pPr>
          </w:p>
        </w:tc>
        <w:tc>
          <w:tcPr>
            <w:tcW w:w="696" w:type="pct"/>
            <w:tcBorders>
              <w:tl2br w:val="nil"/>
              <w:tr2bl w:val="nil"/>
            </w:tcBorders>
            <w:noWrap w:val="0"/>
            <w:vAlign w:val="center"/>
          </w:tcPr>
          <w:p w14:paraId="373931ED">
            <w:pPr>
              <w:pStyle w:val="17"/>
              <w:keepNext w:val="0"/>
              <w:keepLines w:val="0"/>
              <w:pageBreakBefore w:val="0"/>
              <w:widowControl/>
              <w:kinsoku/>
              <w:wordWrap/>
              <w:overflowPunct w:val="0"/>
              <w:topLinePunct w:val="0"/>
              <w:autoSpaceDE w:val="0"/>
              <w:autoSpaceDN w:val="0"/>
              <w:bidi w:val="0"/>
              <w:adjustRightInd w:val="0"/>
              <w:snapToGrid/>
              <w:spacing w:before="60" w:after="60" w:line="24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393763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255" w:type="pct"/>
            <w:gridSpan w:val="4"/>
            <w:tcBorders>
              <w:tl2br w:val="nil"/>
              <w:tr2bl w:val="nil"/>
            </w:tcBorders>
            <w:noWrap w:val="0"/>
            <w:vAlign w:val="center"/>
          </w:tcPr>
          <w:p w14:paraId="5519E933">
            <w:pPr>
              <w:pStyle w:val="17"/>
              <w:keepNext w:val="0"/>
              <w:keepLines w:val="0"/>
              <w:pageBreakBefore w:val="0"/>
              <w:widowControl/>
              <w:kinsoku/>
              <w:wordWrap/>
              <w:overflowPunct w:val="0"/>
              <w:topLinePunct w:val="0"/>
              <w:autoSpaceDE w:val="0"/>
              <w:autoSpaceDN w:val="0"/>
              <w:bidi w:val="0"/>
              <w:adjustRightInd w:val="0"/>
              <w:snapToGrid/>
              <w:spacing w:before="60" w:after="60" w:line="24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合同价款大写：</w:t>
            </w:r>
          </w:p>
        </w:tc>
        <w:tc>
          <w:tcPr>
            <w:tcW w:w="1744" w:type="pct"/>
            <w:gridSpan w:val="3"/>
            <w:tcBorders>
              <w:tl2br w:val="nil"/>
              <w:tr2bl w:val="nil"/>
            </w:tcBorders>
            <w:noWrap w:val="0"/>
            <w:vAlign w:val="center"/>
          </w:tcPr>
          <w:p w14:paraId="68E10FDB">
            <w:pPr>
              <w:pStyle w:val="17"/>
              <w:keepNext w:val="0"/>
              <w:keepLines w:val="0"/>
              <w:pageBreakBefore w:val="0"/>
              <w:widowControl/>
              <w:kinsoku/>
              <w:wordWrap/>
              <w:overflowPunct w:val="0"/>
              <w:topLinePunct w:val="0"/>
              <w:autoSpaceDE w:val="0"/>
              <w:autoSpaceDN w:val="0"/>
              <w:bidi w:val="0"/>
              <w:adjustRightInd w:val="0"/>
              <w:snapToGrid/>
              <w:spacing w:before="60" w:after="60" w:line="240" w:lineRule="auto"/>
              <w:textAlignment w:val="baseline"/>
              <w:rPr>
                <w:rFonts w:hint="eastAsia" w:ascii="宋体" w:hAnsi="宋体" w:eastAsia="宋体" w:cs="宋体"/>
                <w:color w:val="auto"/>
                <w:sz w:val="22"/>
                <w:szCs w:val="22"/>
                <w:highlight w:val="none"/>
              </w:rPr>
            </w:pPr>
          </w:p>
        </w:tc>
      </w:tr>
    </w:tbl>
    <w:p w14:paraId="4425296C">
      <w:pPr>
        <w:pStyle w:val="17"/>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（合同价款包括</w:t>
      </w:r>
      <w:r>
        <w:rPr>
          <w:rFonts w:hint="eastAsia" w:ascii="宋体" w:hAnsi="宋体" w:eastAsia="宋体" w:cs="宋体"/>
          <w:bCs/>
          <w:color w:val="auto"/>
          <w:sz w:val="22"/>
          <w:szCs w:val="22"/>
          <w:highlight w:val="none"/>
        </w:rPr>
        <w:t>货款、标准附件、备品备件、专用工具、包装、运输、装卸、保险、税金、货到就位以及安装、调试、软硬件系统集成、培训、保修等一切税金和费用及其他因本项目而产生的一切费用</w:t>
      </w:r>
      <w:r>
        <w:rPr>
          <w:rFonts w:hint="eastAsia" w:ascii="宋体" w:hAnsi="宋体" w:eastAsia="宋体" w:cs="宋体"/>
          <w:color w:val="auto"/>
          <w:sz w:val="22"/>
          <w:szCs w:val="22"/>
          <w:highlight w:val="none"/>
        </w:rPr>
        <w:t>）。</w:t>
      </w:r>
    </w:p>
    <w:p w14:paraId="1F523911">
      <w:pPr>
        <w:pStyle w:val="17"/>
        <w:snapToGrid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二、技术资料</w:t>
      </w:r>
    </w:p>
    <w:p w14:paraId="326494F8">
      <w:pPr>
        <w:pStyle w:val="17"/>
        <w:snapToGrid w:val="0"/>
        <w:spacing w:line="360" w:lineRule="auto"/>
        <w:ind w:firstLine="376" w:firstLineChars="17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 乙方应按招标文件规定的时间向甲方提供使用货物的有关技术资料。</w:t>
      </w:r>
    </w:p>
    <w:p w14:paraId="1226D46A">
      <w:pPr>
        <w:pStyle w:val="17"/>
        <w:snapToGrid w:val="0"/>
        <w:spacing w:line="360" w:lineRule="auto"/>
        <w:ind w:firstLine="376" w:firstLineChars="17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0602A81D">
      <w:pPr>
        <w:pStyle w:val="17"/>
        <w:snapToGrid w:val="0"/>
        <w:spacing w:line="360" w:lineRule="auto"/>
        <w:ind w:left="412" w:hanging="378" w:hangingChars="171"/>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三、权利担保</w:t>
      </w:r>
    </w:p>
    <w:p w14:paraId="5DABE7D6">
      <w:pPr>
        <w:pStyle w:val="17"/>
        <w:snapToGrid w:val="0"/>
        <w:spacing w:line="360" w:lineRule="auto"/>
        <w:ind w:firstLine="376" w:firstLineChars="17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1、乙方应保证所提供的货物或其任何一部分均不会侵犯任何第三方的知识产权。</w:t>
      </w:r>
    </w:p>
    <w:p w14:paraId="013F679E">
      <w:pPr>
        <w:pStyle w:val="17"/>
        <w:snapToGrid w:val="0"/>
        <w:spacing w:line="360" w:lineRule="auto"/>
        <w:ind w:firstLine="376" w:firstLineChars="17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2、乙方保证所交付的货物的所有权完全属于乙方且无任何抵押、查封等产权瑕疵。</w:t>
      </w:r>
    </w:p>
    <w:p w14:paraId="08489CDC">
      <w:pPr>
        <w:pStyle w:val="17"/>
        <w:snapToGrid w:val="0"/>
        <w:spacing w:line="360" w:lineRule="auto"/>
        <w:ind w:firstLine="376" w:firstLineChars="171"/>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3、若乙方违反上述保证，出现侵权或货物所有权不属于乙方等产权瑕疵的，由乙方承担全部责任。如造成甲方损失的，甲方有权向乙方追偿并要求乙方支付合同总值（10%）的违约金。</w:t>
      </w:r>
    </w:p>
    <w:p w14:paraId="42C59045">
      <w:pPr>
        <w:pStyle w:val="17"/>
        <w:snapToGrid w:val="0"/>
        <w:spacing w:line="360" w:lineRule="auto"/>
        <w:ind w:left="410" w:hanging="375" w:hangingChars="17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四、履约保证金</w:t>
      </w:r>
    </w:p>
    <w:p w14:paraId="70159CD9">
      <w:pPr>
        <w:pStyle w:val="17"/>
        <w:snapToGrid w:val="0"/>
        <w:spacing w:line="360" w:lineRule="auto"/>
        <w:ind w:firstLine="376" w:firstLineChars="17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乙方支付中标总额</w:t>
      </w:r>
      <w:r>
        <w:rPr>
          <w:rFonts w:hint="eastAsia" w:hAnsi="宋体" w:eastAsia="宋体" w:cs="宋体"/>
          <w:color w:val="auto"/>
          <w:sz w:val="22"/>
          <w:szCs w:val="22"/>
          <w:highlight w:val="none"/>
          <w:u w:val="single"/>
          <w:lang w:val="en-US" w:eastAsia="zh-CN"/>
        </w:rPr>
        <w:t xml:space="preserve"> </w:t>
      </w:r>
      <w:r>
        <w:rPr>
          <w:rFonts w:hint="eastAsia" w:hAnsi="宋体" w:cs="宋体"/>
          <w:color w:val="auto"/>
          <w:sz w:val="22"/>
          <w:szCs w:val="22"/>
          <w:highlight w:val="none"/>
          <w:u w:val="single"/>
          <w:lang w:val="en-US" w:eastAsia="zh-CN"/>
        </w:rPr>
        <w:t>5</w:t>
      </w:r>
      <w:r>
        <w:rPr>
          <w:rFonts w:hint="eastAsia"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的履约保证金</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项目全部开发建设完成，经完工</w:t>
      </w:r>
      <w:r>
        <w:rPr>
          <w:rFonts w:hint="eastAsia" w:ascii="宋体" w:hAnsi="宋体" w:eastAsia="宋体" w:cs="宋体"/>
          <w:color w:val="auto"/>
          <w:sz w:val="22"/>
          <w:szCs w:val="22"/>
          <w:highlight w:val="none"/>
        </w:rPr>
        <w:t>验收合格后</w:t>
      </w:r>
      <w:r>
        <w:rPr>
          <w:rFonts w:hint="eastAsia" w:ascii="宋体" w:hAnsi="宋体" w:eastAsia="宋体" w:cs="宋体"/>
          <w:color w:val="auto"/>
          <w:sz w:val="22"/>
          <w:szCs w:val="22"/>
          <w:highlight w:val="none"/>
          <w:lang w:eastAsia="zh-CN"/>
        </w:rPr>
        <w:t>，甲方</w:t>
      </w:r>
      <w:r>
        <w:rPr>
          <w:rFonts w:hint="eastAsia"/>
          <w:color w:val="auto"/>
          <w:highlight w:val="none"/>
          <w:lang w:val="en-US" w:eastAsia="zh-CN"/>
        </w:rPr>
        <w:t>于</w:t>
      </w:r>
      <w:r>
        <w:rPr>
          <w:rFonts w:hint="eastAsia"/>
          <w:color w:val="auto"/>
          <w:highlight w:val="none"/>
          <w:u w:val="single"/>
          <w:lang w:val="en-US" w:eastAsia="zh-CN"/>
        </w:rPr>
        <w:t xml:space="preserve"> 30 </w:t>
      </w:r>
      <w:r>
        <w:rPr>
          <w:rFonts w:hint="eastAsia"/>
          <w:color w:val="auto"/>
          <w:highlight w:val="none"/>
          <w:u w:val="none"/>
          <w:lang w:val="en-US" w:eastAsia="zh-CN"/>
        </w:rPr>
        <w:t>个</w:t>
      </w:r>
      <w:r>
        <w:rPr>
          <w:rFonts w:hint="eastAsia"/>
          <w:color w:val="auto"/>
          <w:highlight w:val="none"/>
          <w:lang w:val="en-US" w:eastAsia="zh-CN"/>
        </w:rPr>
        <w:t>工作日内</w:t>
      </w:r>
      <w:r>
        <w:rPr>
          <w:rFonts w:hint="eastAsia" w:ascii="宋体" w:hAnsi="宋体" w:eastAsia="宋体" w:cs="宋体"/>
          <w:color w:val="auto"/>
          <w:sz w:val="22"/>
          <w:szCs w:val="22"/>
          <w:highlight w:val="none"/>
          <w:lang w:eastAsia="zh-CN"/>
        </w:rPr>
        <w:t>无息返还乙方支付的履约保证金。</w:t>
      </w:r>
    </w:p>
    <w:p w14:paraId="273A4B7C">
      <w:pPr>
        <w:pStyle w:val="17"/>
        <w:snapToGrid w:val="0"/>
        <w:spacing w:line="360" w:lineRule="auto"/>
        <w:ind w:left="410" w:hanging="375" w:hangingChars="17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五、转包或分包</w:t>
      </w:r>
    </w:p>
    <w:p w14:paraId="2E67BFCE">
      <w:pPr>
        <w:pStyle w:val="17"/>
        <w:snapToGrid w:val="0"/>
        <w:spacing w:line="360" w:lineRule="auto"/>
        <w:ind w:firstLine="376" w:firstLineChars="17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中标人不得以任何形式将中标项目全部或部分转包给第三方，未经招标人书面同意，不得将本合同范围</w:t>
      </w:r>
      <w:r>
        <w:rPr>
          <w:rFonts w:hint="eastAsia" w:ascii="宋体" w:hAnsi="宋体" w:eastAsia="宋体" w:cs="宋体"/>
          <w:color w:val="auto"/>
          <w:sz w:val="22"/>
          <w:szCs w:val="22"/>
          <w:highlight w:val="none"/>
          <w:lang w:val="en-US" w:eastAsia="zh-CN"/>
        </w:rPr>
        <w:t>内</w:t>
      </w:r>
      <w:r>
        <w:rPr>
          <w:rFonts w:hint="eastAsia" w:ascii="宋体" w:hAnsi="宋体" w:eastAsia="宋体" w:cs="宋体"/>
          <w:color w:val="auto"/>
          <w:sz w:val="22"/>
          <w:szCs w:val="22"/>
          <w:highlight w:val="none"/>
        </w:rPr>
        <w:t>中标项目的任何部分分包给第三方。中标人违反上述规定进行转包或违法分包的，招标人有权终止合同，要求中标人退还已付款项、支付合同总价</w:t>
      </w:r>
      <w:r>
        <w:rPr>
          <w:rFonts w:hint="eastAsia" w:hAnsi="宋体" w:cs="宋体"/>
          <w:color w:val="auto"/>
          <w:sz w:val="22"/>
          <w:szCs w:val="22"/>
          <w:highlight w:val="none"/>
          <w:lang w:val="en-US" w:eastAsia="zh-CN"/>
        </w:rPr>
        <w:t>20%</w:t>
      </w:r>
      <w:r>
        <w:rPr>
          <w:rFonts w:hint="eastAsia" w:ascii="宋体" w:hAnsi="宋体" w:eastAsia="宋体" w:cs="宋体"/>
          <w:color w:val="auto"/>
          <w:sz w:val="22"/>
          <w:szCs w:val="22"/>
          <w:highlight w:val="none"/>
        </w:rPr>
        <w:t>的违约金，并赔偿招标人因此遭受的全部损失。同时，中标人应承担相应的法律责任，招标人有权向相关行政监督部门举报。</w:t>
      </w:r>
    </w:p>
    <w:p w14:paraId="06766A7B">
      <w:pPr>
        <w:pStyle w:val="17"/>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六、质保期和质保金</w:t>
      </w:r>
    </w:p>
    <w:p w14:paraId="21865C15">
      <w:pPr>
        <w:pStyle w:val="17"/>
        <w:snapToGrid w:val="0"/>
        <w:spacing w:line="360" w:lineRule="auto"/>
        <w:ind w:firstLine="376" w:firstLineChars="17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 质保期</w:t>
      </w:r>
      <w:r>
        <w:rPr>
          <w:rFonts w:hint="eastAsia" w:ascii="宋体" w:hAnsi="宋体" w:eastAsia="宋体" w:cs="宋体"/>
          <w:color w:val="auto"/>
          <w:sz w:val="22"/>
          <w:szCs w:val="22"/>
          <w:highlight w:val="none"/>
          <w:u w:val="single"/>
        </w:rPr>
        <w:t xml:space="preserve"> </w:t>
      </w:r>
      <w:r>
        <w:rPr>
          <w:rFonts w:hint="eastAsia" w:hAnsi="宋体" w:cs="宋体"/>
          <w:color w:val="auto"/>
          <w:sz w:val="22"/>
          <w:szCs w:val="22"/>
          <w:highlight w:val="none"/>
          <w:u w:val="single"/>
          <w:lang w:val="en-US" w:eastAsia="zh-CN"/>
        </w:rPr>
        <w:t>3</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p>
    <w:p w14:paraId="20C668F4">
      <w:pPr>
        <w:pStyle w:val="17"/>
        <w:snapToGrid w:val="0"/>
        <w:spacing w:line="360" w:lineRule="auto"/>
        <w:ind w:firstLine="376" w:firstLineChars="171"/>
        <w:rPr>
          <w:rFonts w:hint="default" w:ascii="宋体" w:hAnsi="宋体" w:eastAsia="宋体" w:cs="宋体"/>
          <w:color w:val="auto"/>
          <w:sz w:val="22"/>
          <w:szCs w:val="22"/>
          <w:highlight w:val="none"/>
          <w:u w:val="single"/>
          <w:lang w:val="en-US" w:eastAsia="zh-CN"/>
        </w:rPr>
      </w:pPr>
      <w:r>
        <w:rPr>
          <w:rFonts w:hint="eastAsia" w:ascii="宋体" w:hAnsi="宋体" w:eastAsia="宋体" w:cs="宋体"/>
          <w:color w:val="auto"/>
          <w:sz w:val="22"/>
          <w:szCs w:val="22"/>
          <w:highlight w:val="none"/>
          <w:lang w:val="en-US" w:eastAsia="zh-CN"/>
        </w:rPr>
        <w:t>2. 质保金占总价的</w:t>
      </w:r>
      <w:r>
        <w:rPr>
          <w:rFonts w:hint="eastAsia" w:ascii="宋体" w:hAnsi="宋体" w:eastAsia="宋体" w:cs="宋体"/>
          <w:color w:val="auto"/>
          <w:sz w:val="22"/>
          <w:szCs w:val="22"/>
          <w:highlight w:val="none"/>
          <w:u w:val="single"/>
          <w:lang w:val="en-US" w:eastAsia="zh-CN"/>
        </w:rPr>
        <w:t xml:space="preserve"> 2% </w:t>
      </w:r>
      <w:r>
        <w:rPr>
          <w:rFonts w:hint="eastAsia" w:ascii="宋体" w:hAnsi="宋体" w:eastAsia="宋体" w:cs="宋体"/>
          <w:color w:val="auto"/>
          <w:sz w:val="22"/>
          <w:szCs w:val="22"/>
          <w:highlight w:val="none"/>
          <w:u w:val="none"/>
          <w:lang w:val="en-US" w:eastAsia="zh-CN"/>
        </w:rPr>
        <w:t>。若设备在质保期内无任何质量问题，</w:t>
      </w:r>
      <w:r>
        <w:rPr>
          <w:rFonts w:hint="eastAsia" w:hAnsi="宋体" w:cs="宋体"/>
          <w:color w:val="auto"/>
          <w:sz w:val="22"/>
          <w:szCs w:val="22"/>
          <w:highlight w:val="none"/>
          <w:u w:val="none"/>
          <w:lang w:val="en-US" w:eastAsia="zh-CN"/>
        </w:rPr>
        <w:t>甲</w:t>
      </w:r>
      <w:r>
        <w:rPr>
          <w:rFonts w:hint="eastAsia" w:ascii="宋体" w:hAnsi="宋体" w:eastAsia="宋体" w:cs="宋体"/>
          <w:color w:val="auto"/>
          <w:sz w:val="22"/>
          <w:szCs w:val="22"/>
          <w:highlight w:val="none"/>
          <w:u w:val="none"/>
          <w:lang w:val="en-US" w:eastAsia="zh-CN"/>
        </w:rPr>
        <w:t>方于质保期届满后30个工作日内将质保金无息付清。</w:t>
      </w:r>
    </w:p>
    <w:p w14:paraId="39069E9C">
      <w:pPr>
        <w:pStyle w:val="17"/>
        <w:snapToGrid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七、交货期、交货方式及交货地点</w:t>
      </w:r>
    </w:p>
    <w:p w14:paraId="749BD363">
      <w:pPr>
        <w:pStyle w:val="17"/>
        <w:snapToGrid w:val="0"/>
        <w:spacing w:line="360" w:lineRule="auto"/>
        <w:ind w:firstLine="440" w:firstLineChars="200"/>
        <w:rPr>
          <w:rFonts w:hint="default"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rPr>
        <w:t>1. 交货期：</w:t>
      </w:r>
      <w:r>
        <w:rPr>
          <w:rFonts w:hint="eastAsia" w:hAnsi="宋体" w:eastAsia="宋体" w:cs="宋体"/>
          <w:bCs/>
          <w:color w:val="auto"/>
          <w:sz w:val="22"/>
          <w:szCs w:val="22"/>
          <w:highlight w:val="none"/>
          <w:lang w:val="en-US" w:eastAsia="zh-CN"/>
        </w:rPr>
        <w:t>合同签订后30个日历天内完成供货、安装，调试，并试运行30日历天；</w:t>
      </w:r>
    </w:p>
    <w:p w14:paraId="118EB0CC">
      <w:pPr>
        <w:pStyle w:val="17"/>
        <w:snapToGrid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xml:space="preserve">2. 交货方式： </w:t>
      </w:r>
    </w:p>
    <w:p w14:paraId="39C463EC">
      <w:pPr>
        <w:pStyle w:val="17"/>
        <w:snapToGrid w:val="0"/>
        <w:spacing w:line="360" w:lineRule="auto"/>
        <w:ind w:firstLine="440" w:firstLineChars="200"/>
        <w:rPr>
          <w:rFonts w:hint="eastAsia" w:ascii="宋体" w:hAnsi="宋体" w:eastAsia="宋体" w:cs="宋体"/>
          <w:b/>
          <w:color w:val="auto"/>
          <w:sz w:val="22"/>
          <w:szCs w:val="22"/>
          <w:highlight w:val="none"/>
        </w:rPr>
      </w:pPr>
      <w:r>
        <w:rPr>
          <w:rFonts w:hint="eastAsia" w:ascii="宋体" w:hAnsi="宋体" w:eastAsia="宋体" w:cs="宋体"/>
          <w:bCs/>
          <w:color w:val="auto"/>
          <w:sz w:val="22"/>
          <w:szCs w:val="22"/>
          <w:highlight w:val="none"/>
        </w:rPr>
        <w:t>3. 交货地点：</w:t>
      </w:r>
    </w:p>
    <w:p w14:paraId="64CF39F4">
      <w:pPr>
        <w:pStyle w:val="17"/>
        <w:snapToGrid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八、货款支付</w:t>
      </w:r>
    </w:p>
    <w:p w14:paraId="223939C7">
      <w:pPr>
        <w:pStyle w:val="17"/>
        <w:snapToGrid w:val="0"/>
        <w:spacing w:line="360" w:lineRule="auto"/>
        <w:ind w:firstLine="442" w:firstLineChars="200"/>
        <w:rPr>
          <w:rFonts w:hint="eastAsia" w:ascii="宋体" w:hAnsi="宋体" w:eastAsia="宋体" w:cs="宋体"/>
          <w:bCs/>
          <w:color w:val="auto"/>
          <w:sz w:val="22"/>
          <w:szCs w:val="22"/>
          <w:highlight w:val="none"/>
        </w:rPr>
      </w:pPr>
      <w:r>
        <w:rPr>
          <w:rFonts w:hint="eastAsia" w:ascii="宋体" w:hAnsi="宋体" w:eastAsia="宋体" w:cs="宋体"/>
          <w:b/>
          <w:bCs/>
          <w:color w:val="auto"/>
          <w:sz w:val="22"/>
          <w:szCs w:val="22"/>
          <w:highlight w:val="none"/>
        </w:rPr>
        <w:t>1. 付款方式：</w:t>
      </w:r>
      <w:r>
        <w:rPr>
          <w:rFonts w:hint="eastAsia" w:ascii="宋体" w:hAnsi="宋体" w:eastAsia="宋体" w:cs="宋体"/>
          <w:bCs/>
          <w:color w:val="auto"/>
          <w:sz w:val="22"/>
          <w:szCs w:val="22"/>
          <w:highlight w:val="none"/>
        </w:rPr>
        <w:t xml:space="preserve"> </w:t>
      </w:r>
    </w:p>
    <w:tbl>
      <w:tblPr>
        <w:tblStyle w:val="33"/>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1227"/>
        <w:gridCol w:w="6209"/>
        <w:gridCol w:w="1225"/>
      </w:tblGrid>
      <w:tr w14:paraId="5AE299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7" w:type="pct"/>
            <w:noWrap w:val="0"/>
            <w:vAlign w:val="center"/>
          </w:tcPr>
          <w:p w14:paraId="0710D76C">
            <w:pPr>
              <w:adjustRightInd w:val="0"/>
              <w:snapToGrid w:val="0"/>
              <w:spacing w:line="30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付款次数</w:t>
            </w:r>
          </w:p>
        </w:tc>
        <w:tc>
          <w:tcPr>
            <w:tcW w:w="622" w:type="pct"/>
            <w:noWrap w:val="0"/>
            <w:vAlign w:val="center"/>
          </w:tcPr>
          <w:p w14:paraId="264C13AC">
            <w:pPr>
              <w:adjustRightInd w:val="0"/>
              <w:snapToGrid w:val="0"/>
              <w:spacing w:line="30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约定支付条件</w:t>
            </w:r>
          </w:p>
        </w:tc>
        <w:tc>
          <w:tcPr>
            <w:tcW w:w="3148" w:type="pct"/>
            <w:noWrap w:val="0"/>
            <w:vAlign w:val="center"/>
          </w:tcPr>
          <w:p w14:paraId="55606965">
            <w:pPr>
              <w:adjustRightInd w:val="0"/>
              <w:snapToGrid w:val="0"/>
              <w:spacing w:line="30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付款条件</w:t>
            </w:r>
          </w:p>
        </w:tc>
        <w:tc>
          <w:tcPr>
            <w:tcW w:w="621" w:type="pct"/>
            <w:noWrap w:val="0"/>
            <w:vAlign w:val="center"/>
          </w:tcPr>
          <w:p w14:paraId="3A6CDC2B">
            <w:pPr>
              <w:adjustRightInd w:val="0"/>
              <w:snapToGrid w:val="0"/>
              <w:spacing w:line="30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金额（元）</w:t>
            </w:r>
          </w:p>
        </w:tc>
      </w:tr>
      <w:tr w14:paraId="577D6A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7" w:type="pct"/>
            <w:noWrap w:val="0"/>
            <w:vAlign w:val="center"/>
          </w:tcPr>
          <w:p w14:paraId="78E242D0">
            <w:pPr>
              <w:adjustRightInd w:val="0"/>
              <w:snapToGrid w:val="0"/>
              <w:spacing w:line="30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第一次付款</w:t>
            </w:r>
          </w:p>
        </w:tc>
        <w:tc>
          <w:tcPr>
            <w:tcW w:w="622" w:type="pct"/>
            <w:noWrap w:val="0"/>
            <w:vAlign w:val="center"/>
          </w:tcPr>
          <w:p w14:paraId="2CF40C80">
            <w:pPr>
              <w:adjustRightInd w:val="0"/>
              <w:snapToGrid w:val="0"/>
              <w:spacing w:line="30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合同生效之日</w:t>
            </w:r>
          </w:p>
        </w:tc>
        <w:tc>
          <w:tcPr>
            <w:tcW w:w="3148" w:type="pct"/>
            <w:noWrap w:val="0"/>
            <w:vAlign w:val="center"/>
          </w:tcPr>
          <w:p w14:paraId="5002B4F2">
            <w:pPr>
              <w:adjustRightInd w:val="0"/>
              <w:snapToGrid w:val="0"/>
              <w:spacing w:line="30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满足合同约定支付条件，</w:t>
            </w:r>
            <w:r>
              <w:rPr>
                <w:rFonts w:hint="eastAsia" w:ascii="宋体" w:hAnsi="宋体" w:eastAsia="宋体" w:cs="宋体"/>
                <w:bCs/>
                <w:color w:val="auto"/>
                <w:sz w:val="22"/>
                <w:szCs w:val="22"/>
                <w:highlight w:val="none"/>
              </w:rPr>
              <w:t>甲方收到乙方提供的同等金额的</w:t>
            </w:r>
            <w:r>
              <w:rPr>
                <w:rFonts w:hint="eastAsia" w:ascii="宋体" w:hAnsi="宋体" w:eastAsia="宋体" w:cs="宋体"/>
                <w:bCs/>
                <w:color w:val="auto"/>
                <w:sz w:val="22"/>
                <w:szCs w:val="22"/>
                <w:highlight w:val="none"/>
                <w:lang w:eastAsia="zh-CN"/>
              </w:rPr>
              <w:t>增值税专用发票</w:t>
            </w:r>
            <w:r>
              <w:rPr>
                <w:rFonts w:hint="eastAsia" w:ascii="宋体" w:hAnsi="宋体" w:eastAsia="宋体" w:cs="宋体"/>
                <w:bCs/>
                <w:color w:val="auto"/>
                <w:sz w:val="22"/>
                <w:szCs w:val="22"/>
                <w:highlight w:val="none"/>
              </w:rPr>
              <w:t>后15日内</w:t>
            </w:r>
            <w:r>
              <w:rPr>
                <w:rFonts w:hint="eastAsia" w:ascii="宋体" w:hAnsi="宋体" w:eastAsia="宋体" w:cs="宋体"/>
                <w:color w:val="auto"/>
                <w:sz w:val="22"/>
                <w:szCs w:val="22"/>
                <w:highlight w:val="none"/>
              </w:rPr>
              <w:t>，在履行相关资金审批手续后支付合同总价30%的预付款；</w:t>
            </w:r>
          </w:p>
        </w:tc>
        <w:tc>
          <w:tcPr>
            <w:tcW w:w="621" w:type="pct"/>
            <w:noWrap w:val="0"/>
            <w:vAlign w:val="center"/>
          </w:tcPr>
          <w:p w14:paraId="25DB1664">
            <w:pPr>
              <w:adjustRightInd w:val="0"/>
              <w:snapToGrid w:val="0"/>
              <w:spacing w:line="300" w:lineRule="auto"/>
              <w:jc w:val="center"/>
              <w:rPr>
                <w:rFonts w:hint="eastAsia" w:ascii="宋体" w:hAnsi="宋体" w:eastAsia="宋体" w:cs="宋体"/>
                <w:color w:val="auto"/>
                <w:kern w:val="0"/>
                <w:sz w:val="22"/>
                <w:szCs w:val="22"/>
                <w:highlight w:val="none"/>
              </w:rPr>
            </w:pPr>
          </w:p>
        </w:tc>
      </w:tr>
      <w:tr w14:paraId="3AD2AC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7" w:type="pct"/>
            <w:noWrap w:val="0"/>
            <w:vAlign w:val="center"/>
          </w:tcPr>
          <w:p w14:paraId="345534E1">
            <w:pPr>
              <w:adjustRightInd w:val="0"/>
              <w:snapToGrid w:val="0"/>
              <w:spacing w:line="30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第二次付款</w:t>
            </w:r>
          </w:p>
        </w:tc>
        <w:tc>
          <w:tcPr>
            <w:tcW w:w="622" w:type="pct"/>
            <w:noWrap w:val="0"/>
            <w:vAlign w:val="center"/>
          </w:tcPr>
          <w:p w14:paraId="58906AC4">
            <w:pPr>
              <w:adjustRightInd w:val="0"/>
              <w:snapToGrid w:val="0"/>
              <w:spacing w:line="300" w:lineRule="auto"/>
              <w:jc w:val="center"/>
              <w:rPr>
                <w:rFonts w:hint="eastAsia" w:ascii="宋体" w:hAnsi="宋体" w:eastAsia="宋体" w:cs="宋体"/>
                <w:bCs/>
                <w:color w:val="auto"/>
                <w:sz w:val="22"/>
                <w:szCs w:val="22"/>
                <w:highlight w:val="none"/>
              </w:rPr>
            </w:pPr>
            <w:r>
              <w:rPr>
                <w:rFonts w:hint="eastAsia" w:ascii="宋体" w:hAnsi="宋体" w:eastAsia="宋体" w:cs="宋体"/>
                <w:color w:val="auto"/>
                <w:kern w:val="0"/>
                <w:sz w:val="22"/>
                <w:szCs w:val="22"/>
                <w:highlight w:val="none"/>
              </w:rPr>
              <w:t>项目</w:t>
            </w:r>
            <w:r>
              <w:rPr>
                <w:rFonts w:hint="eastAsia" w:ascii="宋体" w:hAnsi="宋体" w:eastAsia="宋体" w:cs="宋体"/>
                <w:color w:val="auto"/>
                <w:sz w:val="22"/>
                <w:szCs w:val="22"/>
                <w:highlight w:val="none"/>
                <w:lang w:val="en-US" w:eastAsia="zh-CN"/>
              </w:rPr>
              <w:t>完</w:t>
            </w:r>
            <w:r>
              <w:rPr>
                <w:rFonts w:hint="eastAsia" w:ascii="宋体" w:hAnsi="宋体" w:eastAsia="宋体" w:cs="宋体"/>
                <w:color w:val="auto"/>
                <w:kern w:val="0"/>
                <w:sz w:val="22"/>
                <w:szCs w:val="22"/>
                <w:highlight w:val="none"/>
                <w:lang w:val="en-US" w:eastAsia="zh-CN"/>
              </w:rPr>
              <w:t>工</w:t>
            </w:r>
            <w:r>
              <w:rPr>
                <w:rFonts w:hint="eastAsia" w:ascii="宋体" w:hAnsi="宋体" w:eastAsia="宋体" w:cs="宋体"/>
                <w:color w:val="auto"/>
                <w:kern w:val="0"/>
                <w:sz w:val="22"/>
                <w:szCs w:val="22"/>
                <w:highlight w:val="none"/>
              </w:rPr>
              <w:t>验收合格后</w:t>
            </w:r>
          </w:p>
        </w:tc>
        <w:tc>
          <w:tcPr>
            <w:tcW w:w="3148" w:type="pct"/>
            <w:noWrap w:val="0"/>
            <w:vAlign w:val="center"/>
          </w:tcPr>
          <w:p w14:paraId="5C5036C9">
            <w:pPr>
              <w:adjustRightInd w:val="0"/>
              <w:snapToGrid w:val="0"/>
              <w:spacing w:line="300" w:lineRule="auto"/>
              <w:jc w:val="left"/>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sz w:val="22"/>
                <w:szCs w:val="22"/>
                <w:highlight w:val="none"/>
                <w:lang w:val="en-US" w:eastAsia="zh-CN"/>
              </w:rPr>
              <w:t>项目全部开发建设完成，经完工</w:t>
            </w:r>
            <w:r>
              <w:rPr>
                <w:rFonts w:hint="eastAsia" w:ascii="宋体" w:hAnsi="宋体" w:eastAsia="宋体" w:cs="宋体"/>
                <w:color w:val="auto"/>
                <w:sz w:val="22"/>
                <w:szCs w:val="22"/>
                <w:highlight w:val="none"/>
              </w:rPr>
              <w:t>验收合格</w:t>
            </w:r>
            <w:r>
              <w:rPr>
                <w:rFonts w:hint="eastAsia" w:ascii="宋体" w:hAnsi="宋体" w:eastAsia="宋体" w:cs="宋体"/>
                <w:color w:val="auto"/>
                <w:sz w:val="22"/>
                <w:szCs w:val="22"/>
                <w:highlight w:val="none"/>
                <w:lang w:eastAsia="zh-CN"/>
              </w:rPr>
              <w:t>、试运行通过</w:t>
            </w:r>
            <w:r>
              <w:rPr>
                <w:rFonts w:hint="eastAsia" w:ascii="宋体" w:hAnsi="宋体" w:eastAsia="宋体" w:cs="宋体"/>
                <w:color w:val="auto"/>
                <w:sz w:val="22"/>
                <w:szCs w:val="22"/>
                <w:highlight w:val="none"/>
              </w:rPr>
              <w:t>后，甲方收到乙方提供的同等金额的</w:t>
            </w:r>
            <w:r>
              <w:rPr>
                <w:rFonts w:hint="eastAsia" w:ascii="宋体" w:hAnsi="宋体" w:eastAsia="宋体" w:cs="宋体"/>
                <w:color w:val="auto"/>
                <w:sz w:val="22"/>
                <w:szCs w:val="22"/>
                <w:highlight w:val="none"/>
                <w:lang w:eastAsia="zh-CN"/>
              </w:rPr>
              <w:t>增值税专用发票</w:t>
            </w:r>
            <w:r>
              <w:rPr>
                <w:rFonts w:hint="eastAsia" w:ascii="宋体" w:hAnsi="宋体" w:eastAsia="宋体" w:cs="宋体"/>
                <w:color w:val="auto"/>
                <w:sz w:val="22"/>
                <w:szCs w:val="22"/>
                <w:highlight w:val="none"/>
              </w:rPr>
              <w:t>后</w:t>
            </w:r>
            <w:r>
              <w:rPr>
                <w:rFonts w:hint="eastAsia" w:ascii="宋体" w:hAnsi="宋体" w:eastAsia="宋体" w:cs="宋体"/>
                <w:bCs/>
                <w:color w:val="auto"/>
                <w:sz w:val="22"/>
                <w:szCs w:val="22"/>
                <w:highlight w:val="none"/>
              </w:rPr>
              <w:t>15日内</w:t>
            </w:r>
            <w:r>
              <w:rPr>
                <w:rFonts w:hint="eastAsia" w:ascii="宋体" w:hAnsi="宋体" w:eastAsia="宋体" w:cs="宋体"/>
                <w:color w:val="auto"/>
                <w:sz w:val="22"/>
                <w:szCs w:val="22"/>
                <w:highlight w:val="none"/>
              </w:rPr>
              <w:t>，在履行相关资金审批手续后向乙方支付至</w:t>
            </w:r>
            <w:r>
              <w:rPr>
                <w:rFonts w:hint="eastAsia" w:ascii="宋体" w:hAnsi="宋体" w:eastAsia="宋体" w:cs="宋体"/>
                <w:color w:val="auto"/>
                <w:sz w:val="22"/>
                <w:szCs w:val="22"/>
                <w:highlight w:val="none"/>
                <w:lang w:val="en-US" w:eastAsia="zh-CN"/>
              </w:rPr>
              <w:t>合同总价</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lang w:val="en-US" w:eastAsia="zh-CN"/>
              </w:rPr>
              <w:t>98</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，剩余的</w:t>
            </w:r>
            <w:r>
              <w:rPr>
                <w:rFonts w:hint="eastAsia" w:ascii="宋体" w:hAnsi="宋体" w:eastAsia="宋体" w:cs="宋体"/>
                <w:color w:val="auto"/>
                <w:sz w:val="22"/>
                <w:szCs w:val="22"/>
                <w:highlight w:val="none"/>
                <w:lang w:val="en-US" w:eastAsia="zh-CN"/>
              </w:rPr>
              <w:t>2%作为质量保证金，甲方开收据给乙方，在质保期满无问题后甲方</w:t>
            </w:r>
            <w:r>
              <w:rPr>
                <w:rFonts w:hint="eastAsia" w:ascii="宋体" w:hAnsi="宋体" w:eastAsia="宋体" w:cs="宋体"/>
                <w:color w:val="auto"/>
                <w:sz w:val="22"/>
                <w:szCs w:val="22"/>
                <w:highlight w:val="none"/>
                <w:lang w:eastAsia="zh-CN"/>
              </w:rPr>
              <w:t>凭</w:t>
            </w:r>
            <w:r>
              <w:rPr>
                <w:rFonts w:hint="eastAsia" w:ascii="宋体" w:hAnsi="宋体" w:eastAsia="宋体" w:cs="宋体"/>
                <w:color w:val="auto"/>
                <w:sz w:val="22"/>
                <w:szCs w:val="22"/>
                <w:highlight w:val="none"/>
                <w:lang w:val="en-US" w:eastAsia="zh-CN"/>
              </w:rPr>
              <w:t>收据无息返还乙方的质保金。</w:t>
            </w:r>
          </w:p>
        </w:tc>
        <w:tc>
          <w:tcPr>
            <w:tcW w:w="621" w:type="pct"/>
            <w:noWrap w:val="0"/>
            <w:vAlign w:val="center"/>
          </w:tcPr>
          <w:p w14:paraId="50E5457F">
            <w:pPr>
              <w:adjustRightInd w:val="0"/>
              <w:snapToGrid w:val="0"/>
              <w:spacing w:line="300" w:lineRule="auto"/>
              <w:jc w:val="center"/>
              <w:rPr>
                <w:rFonts w:hint="eastAsia" w:ascii="宋体" w:hAnsi="宋体" w:eastAsia="宋体" w:cs="宋体"/>
                <w:color w:val="auto"/>
                <w:kern w:val="0"/>
                <w:sz w:val="22"/>
                <w:szCs w:val="22"/>
                <w:highlight w:val="none"/>
              </w:rPr>
            </w:pPr>
          </w:p>
        </w:tc>
      </w:tr>
    </w:tbl>
    <w:p w14:paraId="369A9DBD">
      <w:pPr>
        <w:pStyle w:val="17"/>
        <w:snapToGrid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w:t>
      </w:r>
      <w:r>
        <w:rPr>
          <w:rFonts w:hint="eastAsia" w:hAnsi="宋体" w:eastAsia="宋体" w:cs="宋体"/>
          <w:bCs/>
          <w:color w:val="auto"/>
          <w:sz w:val="22"/>
          <w:szCs w:val="22"/>
          <w:highlight w:val="none"/>
          <w:lang w:eastAsia="zh-CN"/>
        </w:rPr>
        <w:t>.</w:t>
      </w:r>
      <w:r>
        <w:rPr>
          <w:rFonts w:hint="eastAsia" w:hAnsi="宋体" w:eastAsia="宋体" w:cs="宋体"/>
          <w:bCs/>
          <w:color w:val="auto"/>
          <w:sz w:val="22"/>
          <w:szCs w:val="22"/>
          <w:highlight w:val="none"/>
          <w:lang w:val="en-US" w:eastAsia="zh-CN"/>
        </w:rPr>
        <w:t xml:space="preserve"> </w:t>
      </w:r>
      <w:r>
        <w:rPr>
          <w:rFonts w:hint="eastAsia" w:ascii="宋体" w:hAnsi="宋体" w:eastAsia="宋体" w:cs="宋体"/>
          <w:color w:val="auto"/>
          <w:sz w:val="22"/>
          <w:szCs w:val="22"/>
          <w:highlight w:val="none"/>
        </w:rPr>
        <w:t>当采购数量与实际使用数量不一致时，乙方应根据实际使用量供货，合同的最终结算金额按实际使用量乘以成交单价进行计算。</w:t>
      </w:r>
    </w:p>
    <w:p w14:paraId="56E68DBB">
      <w:pPr>
        <w:snapToGrid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九、税费</w:t>
      </w:r>
    </w:p>
    <w:p w14:paraId="33367DC1">
      <w:pPr>
        <w:pStyle w:val="17"/>
        <w:snapToGrid w:val="0"/>
        <w:spacing w:line="360" w:lineRule="auto"/>
        <w:ind w:firstLine="376" w:firstLineChars="17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本合同执行中相关的一切税费均由乙方负担。</w:t>
      </w:r>
    </w:p>
    <w:p w14:paraId="0CE9BDFC">
      <w:pPr>
        <w:pStyle w:val="17"/>
        <w:snapToGrid w:val="0"/>
        <w:spacing w:line="360" w:lineRule="auto"/>
        <w:ind w:left="412" w:hanging="378" w:hangingChars="171"/>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十、质量保证及售后服务</w:t>
      </w:r>
    </w:p>
    <w:p w14:paraId="03CD12D1">
      <w:pPr>
        <w:pStyle w:val="17"/>
        <w:snapToGrid w:val="0"/>
        <w:spacing w:line="360" w:lineRule="auto"/>
        <w:ind w:firstLine="376" w:firstLineChars="17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 乙方应按招标文件规定的货物性能、技术要求、质量标准向甲方提供未经使用的全新产品。</w:t>
      </w:r>
    </w:p>
    <w:p w14:paraId="77A32FCD">
      <w:pPr>
        <w:pStyle w:val="17"/>
        <w:snapToGrid w:val="0"/>
        <w:spacing w:line="360" w:lineRule="auto"/>
        <w:ind w:firstLine="376" w:firstLineChars="17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 乙方提供的货物在质保期内因货物本身的质量问题发生故障，乙方应负责免费更换。对达不到技术要求者，根据实际情况，经双方协商，可按以下办法处理：</w:t>
      </w:r>
    </w:p>
    <w:p w14:paraId="10612ACA">
      <w:pPr>
        <w:pStyle w:val="17"/>
        <w:snapToGrid w:val="0"/>
        <w:spacing w:line="360" w:lineRule="auto"/>
        <w:ind w:firstLine="376" w:firstLineChars="17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⑴更换：由乙方承担所发生的全部费用。</w:t>
      </w:r>
    </w:p>
    <w:p w14:paraId="76E8AF1E">
      <w:pPr>
        <w:pStyle w:val="17"/>
        <w:snapToGrid w:val="0"/>
        <w:spacing w:line="360" w:lineRule="auto"/>
        <w:ind w:firstLine="376" w:firstLineChars="17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⑵贬值处理：由甲乙双方合议定价。</w:t>
      </w:r>
    </w:p>
    <w:p w14:paraId="4829AF0B">
      <w:pPr>
        <w:pStyle w:val="17"/>
        <w:snapToGrid w:val="0"/>
        <w:spacing w:line="360" w:lineRule="auto"/>
        <w:ind w:firstLine="376" w:firstLineChars="17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⑶退货处理：乙方应退还甲方支付的合同款，同时应承担该货物的直接费用（运输、保险、检验、货款利息及银行手续费等）。</w:t>
      </w:r>
    </w:p>
    <w:p w14:paraId="07FBDCA0">
      <w:pPr>
        <w:pStyle w:val="17"/>
        <w:snapToGrid w:val="0"/>
        <w:spacing w:line="360" w:lineRule="auto"/>
        <w:ind w:firstLine="376" w:firstLineChars="17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 如在使用过程中发生质量问题</w:t>
      </w:r>
      <w:r>
        <w:rPr>
          <w:rFonts w:hint="eastAsia" w:hAnsi="宋体" w:eastAsia="宋体" w:cs="宋体"/>
          <w:color w:val="auto"/>
          <w:sz w:val="22"/>
          <w:szCs w:val="22"/>
          <w:highlight w:val="none"/>
          <w:lang w:eastAsia="zh-CN"/>
        </w:rPr>
        <w:t>、系统问题</w:t>
      </w:r>
      <w:r>
        <w:rPr>
          <w:rFonts w:hint="eastAsia" w:ascii="宋体" w:hAnsi="宋体" w:eastAsia="宋体" w:cs="宋体"/>
          <w:color w:val="auto"/>
          <w:sz w:val="22"/>
          <w:szCs w:val="22"/>
          <w:highlight w:val="none"/>
        </w:rPr>
        <w:t>，乙方在接到甲方通知</w:t>
      </w:r>
      <w:r>
        <w:rPr>
          <w:rFonts w:hint="eastAsia" w:hAnsi="宋体" w:cs="宋体"/>
          <w:color w:val="auto"/>
          <w:sz w:val="22"/>
          <w:szCs w:val="22"/>
          <w:highlight w:val="none"/>
          <w:lang w:val="en-US" w:eastAsia="zh-CN"/>
        </w:rPr>
        <w:t>起算</w:t>
      </w:r>
      <w:r>
        <w:rPr>
          <w:rFonts w:hint="eastAsia" w:ascii="宋体" w:hAnsi="宋体" w:eastAsia="宋体" w:cs="宋体"/>
          <w:color w:val="auto"/>
          <w:sz w:val="22"/>
          <w:szCs w:val="22"/>
          <w:highlight w:val="none"/>
        </w:rPr>
        <w:t>在（</w:t>
      </w:r>
      <w:r>
        <w:rPr>
          <w:rFonts w:hint="eastAsia"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）小时内到达甲方现场。</w:t>
      </w:r>
    </w:p>
    <w:p w14:paraId="741C5660">
      <w:pPr>
        <w:pStyle w:val="17"/>
        <w:snapToGrid w:val="0"/>
        <w:spacing w:line="360" w:lineRule="auto"/>
        <w:ind w:firstLine="376" w:firstLineChars="17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 在质保期内，乙方应对货物出现的质量</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安全</w:t>
      </w:r>
      <w:r>
        <w:rPr>
          <w:rFonts w:hint="eastAsia" w:hAnsi="宋体" w:eastAsia="宋体" w:cs="宋体"/>
          <w:color w:val="auto"/>
          <w:sz w:val="22"/>
          <w:szCs w:val="22"/>
          <w:highlight w:val="none"/>
          <w:lang w:eastAsia="zh-CN"/>
        </w:rPr>
        <w:t>，系统运行</w:t>
      </w:r>
      <w:r>
        <w:rPr>
          <w:rFonts w:hint="eastAsia" w:ascii="宋体" w:hAnsi="宋体" w:eastAsia="宋体" w:cs="宋体"/>
          <w:color w:val="auto"/>
          <w:sz w:val="22"/>
          <w:szCs w:val="22"/>
          <w:highlight w:val="none"/>
        </w:rPr>
        <w:t>问题负责处理解决并承担一切费用。</w:t>
      </w:r>
    </w:p>
    <w:p w14:paraId="5CC5327A">
      <w:pPr>
        <w:pStyle w:val="17"/>
        <w:snapToGrid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十一、货物包装、发运及运输</w:t>
      </w:r>
    </w:p>
    <w:p w14:paraId="4D66829E">
      <w:pPr>
        <w:pStyle w:val="17"/>
        <w:snapToGrid w:val="0"/>
        <w:spacing w:line="360" w:lineRule="auto"/>
        <w:ind w:firstLine="376" w:firstLineChars="17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 乙方应在货物发运前对其进行满足运输距离、防潮、防震、防锈和防破损装卸等要求包装，以保证货物安全运达甲方指定地点。</w:t>
      </w:r>
      <w:r>
        <w:rPr>
          <w:rFonts w:hint="eastAsia" w:ascii="宋体" w:hAnsi="宋体" w:eastAsia="宋体" w:cs="宋体"/>
          <w:color w:val="auto"/>
          <w:sz w:val="22"/>
          <w:szCs w:val="22"/>
          <w:highlight w:val="none"/>
          <w:lang w:val="en-US" w:eastAsia="zh-CN"/>
        </w:rPr>
        <w:t>由于包装不善所引起的货物毁损、灭失等均由乙方承担责任。</w:t>
      </w:r>
    </w:p>
    <w:p w14:paraId="0DC7AC93">
      <w:pPr>
        <w:pStyle w:val="17"/>
        <w:snapToGrid w:val="0"/>
        <w:spacing w:line="360" w:lineRule="auto"/>
        <w:ind w:firstLine="376" w:firstLineChars="17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 使用说明书、质量检验证明书、随配附件和工具以及清单一并附于货物内。</w:t>
      </w:r>
    </w:p>
    <w:p w14:paraId="6E13DA58">
      <w:pPr>
        <w:pStyle w:val="17"/>
        <w:snapToGrid w:val="0"/>
        <w:spacing w:line="360" w:lineRule="auto"/>
        <w:ind w:firstLine="376" w:firstLineChars="17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 乙方在货物发运手续办理完毕后24小时内或货到甲方48小时前通知甲方，以准备接货</w:t>
      </w:r>
      <w:r>
        <w:rPr>
          <w:rFonts w:hint="eastAsia" w:hAnsi="宋体" w:eastAsia="宋体" w:cs="宋体"/>
          <w:color w:val="auto"/>
          <w:sz w:val="22"/>
          <w:szCs w:val="22"/>
          <w:highlight w:val="none"/>
          <w:lang w:eastAsia="zh-CN"/>
        </w:rPr>
        <w:t>，</w:t>
      </w:r>
      <w:r>
        <w:rPr>
          <w:rFonts w:hint="eastAsia" w:hAnsi="宋体" w:eastAsia="宋体" w:cs="宋体"/>
          <w:color w:val="auto"/>
          <w:sz w:val="22"/>
          <w:szCs w:val="22"/>
          <w:highlight w:val="none"/>
          <w:lang w:val="en-US" w:eastAsia="zh-CN"/>
        </w:rPr>
        <w:t>否则甲方有权拒收，一切费用乙方自负。</w:t>
      </w:r>
    </w:p>
    <w:p w14:paraId="2C20B438">
      <w:pPr>
        <w:pStyle w:val="17"/>
        <w:snapToGrid w:val="0"/>
        <w:spacing w:line="360" w:lineRule="auto"/>
        <w:ind w:firstLine="376" w:firstLineChars="17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 货物在交付甲方前发生的风险均由乙方负责。</w:t>
      </w:r>
    </w:p>
    <w:p w14:paraId="387495AB">
      <w:pPr>
        <w:pStyle w:val="17"/>
        <w:snapToGrid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十二、调试和验收</w:t>
      </w:r>
    </w:p>
    <w:p w14:paraId="71E8E34B">
      <w:pPr>
        <w:pStyle w:val="17"/>
        <w:snapToGrid w:val="0"/>
        <w:spacing w:line="360" w:lineRule="auto"/>
        <w:ind w:firstLine="41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1、甲方对乙方提交的货物依据</w:t>
      </w:r>
      <w:r>
        <w:rPr>
          <w:rFonts w:hint="eastAsia" w:hAnsi="宋体" w:eastAsia="宋体" w:cs="宋体"/>
          <w:color w:val="auto"/>
          <w:sz w:val="22"/>
          <w:szCs w:val="22"/>
          <w:highlight w:val="none"/>
          <w:lang w:val="en-US" w:eastAsia="zh-CN"/>
        </w:rPr>
        <w:t>招标</w:t>
      </w:r>
      <w:r>
        <w:rPr>
          <w:rFonts w:hint="eastAsia" w:ascii="宋体" w:hAnsi="宋体" w:eastAsia="宋体" w:cs="宋体"/>
          <w:color w:val="auto"/>
          <w:sz w:val="22"/>
          <w:szCs w:val="22"/>
          <w:highlight w:val="none"/>
        </w:rPr>
        <w:t>文件上的技术规格要求和国家有关质量标准进行现场初步验收，外观、说明书符合</w:t>
      </w:r>
      <w:r>
        <w:rPr>
          <w:rFonts w:hint="eastAsia" w:hAnsi="宋体" w:eastAsia="宋体" w:cs="宋体"/>
          <w:color w:val="auto"/>
          <w:sz w:val="22"/>
          <w:szCs w:val="22"/>
          <w:highlight w:val="none"/>
          <w:lang w:val="en-US" w:eastAsia="zh-CN"/>
        </w:rPr>
        <w:t>招标</w:t>
      </w:r>
      <w:r>
        <w:rPr>
          <w:rFonts w:hint="eastAsia" w:ascii="宋体" w:hAnsi="宋体" w:eastAsia="宋体" w:cs="宋体"/>
          <w:color w:val="auto"/>
          <w:sz w:val="22"/>
          <w:szCs w:val="22"/>
          <w:highlight w:val="none"/>
        </w:rPr>
        <w:t>文件技术要求的，给予签收，初步验收不合格的不予签收。货到后，甲方需在五个工作日内验收。</w:t>
      </w:r>
    </w:p>
    <w:p w14:paraId="6D223984">
      <w:pPr>
        <w:pStyle w:val="17"/>
        <w:snapToGrid w:val="0"/>
        <w:spacing w:line="360" w:lineRule="auto"/>
        <w:ind w:firstLine="41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2、乙方交货前应对产品作出全面检查和对验收文件进行整理，并列出清单，作为甲方收货验收和使用的技术条件依据，检验的结果应随货物交甲方。</w:t>
      </w:r>
    </w:p>
    <w:p w14:paraId="119985EC">
      <w:pPr>
        <w:pStyle w:val="17"/>
        <w:snapToGrid w:val="0"/>
        <w:spacing w:line="360" w:lineRule="auto"/>
        <w:ind w:firstLine="41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3、甲方对乙方提供的货物在使用前由乙方负责进行调试时，乙方需负责安装并培训甲方的使用操作人员一起调试，直到符合技术要求，交付甲方。</w:t>
      </w:r>
    </w:p>
    <w:p w14:paraId="5082DFCF">
      <w:pPr>
        <w:pStyle w:val="17"/>
        <w:snapToGrid w:val="0"/>
        <w:spacing w:line="360" w:lineRule="auto"/>
        <w:ind w:firstLine="41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4、本项目完工后，甲方</w:t>
      </w:r>
      <w:r>
        <w:rPr>
          <w:rFonts w:hint="eastAsia" w:hAnsi="宋体" w:eastAsia="宋体" w:cs="宋体"/>
          <w:color w:val="auto"/>
          <w:sz w:val="22"/>
          <w:szCs w:val="22"/>
          <w:highlight w:val="none"/>
          <w:lang w:val="en-US" w:eastAsia="zh-CN"/>
        </w:rPr>
        <w:t>可</w:t>
      </w:r>
      <w:r>
        <w:rPr>
          <w:rFonts w:hint="eastAsia" w:ascii="宋体" w:hAnsi="宋体" w:eastAsia="宋体" w:cs="宋体"/>
          <w:color w:val="auto"/>
          <w:sz w:val="22"/>
          <w:szCs w:val="22"/>
          <w:highlight w:val="none"/>
        </w:rPr>
        <w:t>邀请国家认可的专业检测机构参与初步验收及最终验收，并由其出具质量检测报告</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检测与验收费用由乙方承担。</w:t>
      </w:r>
    </w:p>
    <w:p w14:paraId="4D2BA731">
      <w:pPr>
        <w:pStyle w:val="17"/>
        <w:snapToGrid w:val="0"/>
        <w:spacing w:line="360" w:lineRule="auto"/>
        <w:ind w:firstLine="41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5、验收时乙方必须在现场，验收完毕后作出验收结果报告，</w:t>
      </w:r>
      <w:r>
        <w:rPr>
          <w:rFonts w:hint="eastAsia" w:hAnsi="宋体" w:eastAsia="宋体" w:cs="宋体"/>
          <w:color w:val="auto"/>
          <w:sz w:val="22"/>
          <w:szCs w:val="22"/>
          <w:highlight w:val="none"/>
          <w:lang w:val="en-US" w:eastAsia="zh-CN"/>
        </w:rPr>
        <w:t>履约</w:t>
      </w:r>
      <w:r>
        <w:rPr>
          <w:rFonts w:hint="eastAsia" w:ascii="宋体" w:hAnsi="宋体" w:eastAsia="宋体" w:cs="宋体"/>
          <w:color w:val="auto"/>
          <w:sz w:val="22"/>
          <w:szCs w:val="22"/>
          <w:highlight w:val="none"/>
        </w:rPr>
        <w:t>验收</w:t>
      </w:r>
      <w:r>
        <w:rPr>
          <w:rFonts w:hint="eastAsia" w:hAnsi="宋体" w:eastAsia="宋体" w:cs="宋体"/>
          <w:color w:val="auto"/>
          <w:sz w:val="22"/>
          <w:szCs w:val="22"/>
          <w:highlight w:val="none"/>
          <w:lang w:val="en-US" w:eastAsia="zh-CN"/>
        </w:rPr>
        <w:t>所有</w:t>
      </w:r>
      <w:r>
        <w:rPr>
          <w:rFonts w:hint="eastAsia" w:ascii="宋体" w:hAnsi="宋体" w:eastAsia="宋体" w:cs="宋体"/>
          <w:color w:val="auto"/>
          <w:sz w:val="22"/>
          <w:szCs w:val="22"/>
          <w:highlight w:val="none"/>
        </w:rPr>
        <w:t>费用由乙方承担。</w:t>
      </w:r>
    </w:p>
    <w:p w14:paraId="6CDBD261">
      <w:pPr>
        <w:pStyle w:val="17"/>
        <w:snapToGrid w:val="0"/>
        <w:spacing w:line="360" w:lineRule="auto"/>
        <w:ind w:firstLine="410"/>
        <w:rPr>
          <w:rFonts w:hint="default" w:ascii="宋体" w:hAnsi="宋体" w:eastAsia="宋体" w:cs="宋体"/>
          <w:color w:val="auto"/>
          <w:sz w:val="22"/>
          <w:szCs w:val="22"/>
          <w:highlight w:val="none"/>
          <w:lang w:val="en-US" w:eastAsia="zh-CN"/>
        </w:rPr>
      </w:pPr>
      <w:r>
        <w:rPr>
          <w:rFonts w:hint="eastAsia" w:hAnsi="宋体" w:eastAsia="宋体" w:cs="宋体"/>
          <w:color w:val="auto"/>
          <w:sz w:val="22"/>
          <w:szCs w:val="22"/>
          <w:highlight w:val="none"/>
          <w:lang w:val="en-US" w:eastAsia="zh-CN"/>
        </w:rPr>
        <w:t>6、甲方建设与本项目关联的其他项目需要乙方提供配合的，乙方应无条件提供配合。</w:t>
      </w:r>
    </w:p>
    <w:p w14:paraId="7CCEE56F">
      <w:pPr>
        <w:pStyle w:val="17"/>
        <w:snapToGrid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十三、违约责任</w:t>
      </w:r>
    </w:p>
    <w:p w14:paraId="0B716F23">
      <w:pPr>
        <w:pStyle w:val="17"/>
        <w:snapToGrid w:val="0"/>
        <w:spacing w:line="360" w:lineRule="auto"/>
        <w:ind w:firstLine="376" w:firstLineChars="17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 甲方无正当理由拒收货物的，甲方向乙方偿付拒收货款总值的(</w:t>
      </w:r>
      <w:r>
        <w:rPr>
          <w:rFonts w:hint="eastAsia"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)%违约金。</w:t>
      </w:r>
    </w:p>
    <w:p w14:paraId="4D00F039">
      <w:pPr>
        <w:pStyle w:val="17"/>
        <w:snapToGrid w:val="0"/>
        <w:spacing w:line="360" w:lineRule="auto"/>
        <w:ind w:firstLine="376" w:firstLineChars="17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 甲方无故逾期验收和办理货款支付手续的,甲方应按逾期付款总额每日</w:t>
      </w:r>
      <w:r>
        <w:rPr>
          <w:rFonts w:hint="eastAsia" w:hAnsi="宋体" w:eastAsia="宋体" w:cs="宋体"/>
          <w:color w:val="auto"/>
          <w:sz w:val="22"/>
          <w:szCs w:val="22"/>
          <w:highlight w:val="none"/>
          <w:lang w:eastAsia="zh-CN"/>
        </w:rPr>
        <w:t>万</w:t>
      </w:r>
      <w:r>
        <w:rPr>
          <w:rFonts w:hint="eastAsia" w:ascii="宋体" w:hAnsi="宋体" w:eastAsia="宋体" w:cs="宋体"/>
          <w:color w:val="auto"/>
          <w:sz w:val="22"/>
          <w:szCs w:val="22"/>
          <w:highlight w:val="none"/>
        </w:rPr>
        <w:t>分之（</w:t>
      </w:r>
      <w:r>
        <w:rPr>
          <w:rFonts w:hint="eastAsia"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）向乙方支付违约金。</w:t>
      </w:r>
    </w:p>
    <w:p w14:paraId="7DD21623">
      <w:pPr>
        <w:pStyle w:val="17"/>
        <w:snapToGrid w:val="0"/>
        <w:spacing w:line="360" w:lineRule="auto"/>
        <w:ind w:firstLine="376" w:firstLineChars="17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 乙方逾期交付货物的，乙方应按逾期交货总额每日</w:t>
      </w:r>
      <w:r>
        <w:rPr>
          <w:rFonts w:hint="eastAsia" w:hAnsi="宋体" w:eastAsia="宋体" w:cs="宋体"/>
          <w:color w:val="auto"/>
          <w:sz w:val="22"/>
          <w:szCs w:val="22"/>
          <w:highlight w:val="none"/>
          <w:lang w:eastAsia="zh-CN"/>
        </w:rPr>
        <w:t>万</w:t>
      </w:r>
      <w:r>
        <w:rPr>
          <w:rFonts w:hint="eastAsia" w:ascii="宋体" w:hAnsi="宋体" w:eastAsia="宋体" w:cs="宋体"/>
          <w:color w:val="auto"/>
          <w:sz w:val="22"/>
          <w:szCs w:val="22"/>
          <w:highlight w:val="none"/>
        </w:rPr>
        <w:t>分之（</w:t>
      </w:r>
      <w:r>
        <w:rPr>
          <w:rFonts w:hint="eastAsia"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）向甲方支付违约金，由甲方从待付货款中扣除。逾期超过约定日期10个工作日不能交货的，甲方可解除本合同。乙方因逾期交货或因其他违约行为导致甲方解除合同的，乙方应向甲方支付合同总值（</w:t>
      </w:r>
      <w:r>
        <w:rPr>
          <w:rFonts w:hint="eastAsia"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 xml:space="preserve">）%的违约金，如造成甲方损失超过违约金的，超出部分由乙方继续承担赔偿责任。 </w:t>
      </w:r>
    </w:p>
    <w:p w14:paraId="0B3B5DCF">
      <w:pPr>
        <w:pStyle w:val="17"/>
        <w:snapToGrid w:val="0"/>
        <w:spacing w:line="360" w:lineRule="auto"/>
        <w:ind w:firstLine="376" w:firstLineChars="17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1EFB2820">
      <w:pPr>
        <w:pStyle w:val="17"/>
        <w:snapToGrid w:val="0"/>
        <w:spacing w:line="360" w:lineRule="auto"/>
        <w:ind w:firstLine="376" w:firstLineChars="171"/>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5.若乙方违反上述保证，出现侵权或货物所有权不属于乙方等产权瑕疵的，由乙方承担全部责任。如造成甲方损失的，</w:t>
      </w:r>
      <w:r>
        <w:rPr>
          <w:rFonts w:hint="eastAsia" w:hAnsi="宋体" w:cs="宋体"/>
          <w:color w:val="auto"/>
          <w:sz w:val="22"/>
          <w:szCs w:val="22"/>
          <w:highlight w:val="none"/>
          <w:lang w:val="en-US" w:eastAsia="zh-CN"/>
        </w:rPr>
        <w:t>乙方应承担全部赔偿责任包括评估鉴定费、律师费、差旅费、财产保全费、财产保全保险费等所有合理支出，并承担相应的法律责任。</w:t>
      </w:r>
      <w:r>
        <w:rPr>
          <w:rFonts w:hint="eastAsia" w:ascii="宋体" w:hAnsi="宋体" w:eastAsia="宋体" w:cs="宋体"/>
          <w:color w:val="auto"/>
          <w:sz w:val="22"/>
          <w:szCs w:val="22"/>
          <w:highlight w:val="none"/>
          <w:lang w:val="en-US" w:eastAsia="zh-CN"/>
        </w:rPr>
        <w:t>甲方拒收货物的，货物灭失或毁损的风险由乙方承担。</w:t>
      </w:r>
    </w:p>
    <w:p w14:paraId="519F11CE">
      <w:pPr>
        <w:pStyle w:val="17"/>
        <w:snapToGrid w:val="0"/>
        <w:spacing w:line="360" w:lineRule="auto"/>
        <w:ind w:firstLine="376" w:firstLineChars="171"/>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6.货物的隐蔽瑕疵或者功能缺陷，甲方有权于发现时随时要求退还，乙方愿意更换货物但逾期交货的，按乙方逾期交货处理。乙方拒绝更换货物的，甲方可单方面解除合同。</w:t>
      </w:r>
    </w:p>
    <w:p w14:paraId="18A57153">
      <w:pPr>
        <w:pStyle w:val="17"/>
        <w:snapToGrid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十四、不可抗力事件处理</w:t>
      </w:r>
    </w:p>
    <w:p w14:paraId="5AB46BE6">
      <w:pPr>
        <w:pStyle w:val="17"/>
        <w:snapToGrid w:val="0"/>
        <w:spacing w:line="360" w:lineRule="auto"/>
        <w:ind w:firstLine="376" w:firstLineChars="17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 在合同有效期内，任何一方因不可抗力事件导致不能履行合同，则合同履行期可延长，其延长期与不可抗力影响期相同。</w:t>
      </w:r>
    </w:p>
    <w:p w14:paraId="6DDDF30C">
      <w:pPr>
        <w:pStyle w:val="17"/>
        <w:snapToGrid w:val="0"/>
        <w:spacing w:line="360" w:lineRule="auto"/>
        <w:ind w:firstLine="376" w:firstLineChars="17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 不可抗力事件发生后，应立即通知对方，并寄送有关权威机构出具的证明。</w:t>
      </w:r>
    </w:p>
    <w:p w14:paraId="2A9B9A89">
      <w:pPr>
        <w:pStyle w:val="17"/>
        <w:snapToGrid w:val="0"/>
        <w:spacing w:line="360" w:lineRule="auto"/>
        <w:ind w:firstLine="376" w:firstLineChars="17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 不可抗力事件延续120天以上，双方应通过友好协商，确定是否继续履行合同。</w:t>
      </w:r>
    </w:p>
    <w:p w14:paraId="57164DC8">
      <w:pPr>
        <w:pStyle w:val="17"/>
        <w:snapToGrid w:val="0"/>
        <w:spacing w:line="360" w:lineRule="auto"/>
        <w:ind w:firstLine="376" w:firstLineChars="171"/>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4.本条所述的‘不可抗力’系指双方无法控制、不可预见的事件，但不包括乙方的违约或疏忽。这些事件包括：战争、严重火灾、洪水、台风、地震以及其它甲方和乙方商定的事件。</w:t>
      </w:r>
    </w:p>
    <w:p w14:paraId="2D5ADBD8">
      <w:pPr>
        <w:pStyle w:val="17"/>
        <w:snapToGrid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十五、诉讼</w:t>
      </w:r>
    </w:p>
    <w:p w14:paraId="1DB57361">
      <w:pPr>
        <w:pStyle w:val="17"/>
        <w:snapToGrid w:val="0"/>
        <w:spacing w:line="360" w:lineRule="auto"/>
        <w:ind w:firstLine="376" w:firstLineChars="17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双方在执行合同中所发生的一切争议，应通过协商解决。如协商不成，可向甲方</w:t>
      </w:r>
      <w:r>
        <w:rPr>
          <w:rFonts w:hint="eastAsia" w:hAnsi="宋体" w:cs="宋体"/>
          <w:color w:val="auto"/>
          <w:sz w:val="22"/>
          <w:szCs w:val="22"/>
          <w:highlight w:val="none"/>
          <w:lang w:val="en-US" w:eastAsia="zh-CN"/>
        </w:rPr>
        <w:t>住所</w:t>
      </w:r>
      <w:r>
        <w:rPr>
          <w:rFonts w:hint="eastAsia" w:ascii="宋体" w:hAnsi="宋体" w:eastAsia="宋体" w:cs="宋体"/>
          <w:color w:val="auto"/>
          <w:sz w:val="22"/>
          <w:szCs w:val="22"/>
          <w:highlight w:val="none"/>
        </w:rPr>
        <w:t>地法院起诉。</w:t>
      </w:r>
    </w:p>
    <w:p w14:paraId="6D1E5398">
      <w:pPr>
        <w:pStyle w:val="17"/>
        <w:snapToGrid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十六、合同生效及其它</w:t>
      </w:r>
    </w:p>
    <w:p w14:paraId="04BC382D">
      <w:pPr>
        <w:pStyle w:val="17"/>
        <w:snapToGrid w:val="0"/>
        <w:spacing w:line="360" w:lineRule="auto"/>
        <w:ind w:firstLine="376" w:firstLineChars="17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1.招标文件、投标文件、更正公告、中标通知书、承诺函等均作为本合同组成部分，具有同等效力。</w:t>
      </w:r>
    </w:p>
    <w:p w14:paraId="16CBC45A">
      <w:pPr>
        <w:pStyle w:val="17"/>
        <w:snapToGrid w:val="0"/>
        <w:spacing w:line="360" w:lineRule="auto"/>
        <w:ind w:firstLine="376" w:firstLineChars="171"/>
        <w:rPr>
          <w:rFonts w:hint="eastAsia" w:ascii="宋体" w:hAnsi="宋体" w:eastAsia="宋体" w:cs="宋体"/>
          <w:color w:val="auto"/>
          <w:sz w:val="22"/>
          <w:szCs w:val="22"/>
          <w:highlight w:val="none"/>
        </w:rPr>
      </w:pPr>
      <w:r>
        <w:rPr>
          <w:rFonts w:hint="eastAsia"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.合同执行中涉及采购资金和采购内容修改或补充的，须经</w:t>
      </w:r>
      <w:r>
        <w:rPr>
          <w:rFonts w:hint="eastAsia" w:ascii="宋体" w:hAnsi="宋体" w:eastAsia="宋体" w:cs="宋体"/>
          <w:color w:val="auto"/>
          <w:sz w:val="22"/>
          <w:szCs w:val="22"/>
          <w:highlight w:val="none"/>
          <w:lang w:val="en-US" w:eastAsia="zh-CN"/>
        </w:rPr>
        <w:t>有关部门</w:t>
      </w:r>
      <w:r>
        <w:rPr>
          <w:rFonts w:hint="eastAsia" w:ascii="宋体" w:hAnsi="宋体" w:eastAsia="宋体" w:cs="宋体"/>
          <w:color w:val="auto"/>
          <w:sz w:val="22"/>
          <w:szCs w:val="22"/>
          <w:highlight w:val="none"/>
        </w:rPr>
        <w:t>审批，并签书面补充协议报</w:t>
      </w:r>
      <w:r>
        <w:rPr>
          <w:rFonts w:hint="eastAsia" w:ascii="宋体" w:hAnsi="宋体" w:eastAsia="宋体" w:cs="宋体"/>
          <w:color w:val="auto"/>
          <w:sz w:val="22"/>
          <w:szCs w:val="22"/>
          <w:highlight w:val="none"/>
          <w:lang w:val="en-US" w:eastAsia="zh-CN"/>
        </w:rPr>
        <w:t>有关部门</w:t>
      </w:r>
      <w:r>
        <w:rPr>
          <w:rFonts w:hint="eastAsia" w:ascii="宋体" w:hAnsi="宋体" w:eastAsia="宋体" w:cs="宋体"/>
          <w:color w:val="auto"/>
          <w:sz w:val="22"/>
          <w:szCs w:val="22"/>
          <w:highlight w:val="none"/>
        </w:rPr>
        <w:t>审批，作为主合同不可分割的一部分。</w:t>
      </w:r>
    </w:p>
    <w:p w14:paraId="3DFB31A0">
      <w:pPr>
        <w:pStyle w:val="17"/>
        <w:snapToGrid w:val="0"/>
        <w:spacing w:line="360" w:lineRule="auto"/>
        <w:ind w:firstLine="376" w:firstLineChars="171"/>
        <w:rPr>
          <w:rFonts w:hint="eastAsia" w:ascii="宋体" w:hAnsi="宋体" w:eastAsia="宋体" w:cs="宋体"/>
          <w:color w:val="auto"/>
          <w:sz w:val="22"/>
          <w:szCs w:val="22"/>
          <w:highlight w:val="none"/>
        </w:rPr>
      </w:pPr>
      <w:r>
        <w:rPr>
          <w:rFonts w:hint="eastAsia"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.本合同未尽事宜，遵照《</w:t>
      </w:r>
      <w:r>
        <w:rPr>
          <w:rFonts w:hint="eastAsia" w:ascii="宋体" w:hAnsi="宋体" w:eastAsia="宋体" w:cs="宋体"/>
          <w:color w:val="auto"/>
          <w:sz w:val="22"/>
          <w:szCs w:val="22"/>
          <w:highlight w:val="none"/>
          <w:lang w:val="en-US" w:eastAsia="zh-CN"/>
        </w:rPr>
        <w:t>民法典</w:t>
      </w:r>
      <w:r>
        <w:rPr>
          <w:rFonts w:hint="eastAsia" w:ascii="宋体" w:hAnsi="宋体" w:eastAsia="宋体" w:cs="宋体"/>
          <w:color w:val="auto"/>
          <w:sz w:val="22"/>
          <w:szCs w:val="22"/>
          <w:highlight w:val="none"/>
        </w:rPr>
        <w:t>》有关条文执行。</w:t>
      </w:r>
    </w:p>
    <w:p w14:paraId="68E34109">
      <w:pPr>
        <w:pStyle w:val="17"/>
        <w:snapToGrid w:val="0"/>
        <w:spacing w:line="360" w:lineRule="auto"/>
        <w:ind w:firstLine="376" w:firstLineChars="171"/>
        <w:rPr>
          <w:rFonts w:hint="eastAsia" w:ascii="宋体" w:hAnsi="宋体" w:eastAsia="宋体" w:cs="宋体"/>
          <w:color w:val="auto"/>
          <w:sz w:val="22"/>
          <w:szCs w:val="22"/>
          <w:highlight w:val="none"/>
        </w:rPr>
      </w:pPr>
      <w:r>
        <w:rPr>
          <w:rFonts w:hint="eastAsia"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.本合同一式</w:t>
      </w:r>
      <w:r>
        <w:rPr>
          <w:rFonts w:hint="eastAsia" w:ascii="宋体" w:hAnsi="宋体" w:eastAsia="宋体" w:cs="宋体"/>
          <w:color w:val="auto"/>
          <w:sz w:val="22"/>
          <w:szCs w:val="22"/>
          <w:highlight w:val="none"/>
          <w:lang w:val="en-US" w:eastAsia="zh-CN"/>
        </w:rPr>
        <w:t>肆</w:t>
      </w:r>
      <w:r>
        <w:rPr>
          <w:rFonts w:hint="eastAsia" w:ascii="宋体" w:hAnsi="宋体" w:eastAsia="宋体" w:cs="宋体"/>
          <w:color w:val="auto"/>
          <w:sz w:val="22"/>
          <w:szCs w:val="22"/>
          <w:highlight w:val="none"/>
        </w:rPr>
        <w:t>份，</w:t>
      </w:r>
      <w:r>
        <w:rPr>
          <w:rFonts w:hint="eastAsia" w:hAnsi="宋体" w:cs="宋体"/>
          <w:color w:val="auto"/>
          <w:sz w:val="22"/>
          <w:szCs w:val="22"/>
          <w:highlight w:val="none"/>
          <w:lang w:val="en-US" w:eastAsia="zh-CN"/>
        </w:rPr>
        <w:t>经双方法定代表人或代理人签字并加盖公章之日起生效，</w:t>
      </w:r>
      <w:r>
        <w:rPr>
          <w:rFonts w:hint="eastAsia" w:ascii="宋体" w:hAnsi="宋体" w:eastAsia="宋体" w:cs="宋体"/>
          <w:color w:val="auto"/>
          <w:sz w:val="22"/>
          <w:szCs w:val="22"/>
          <w:highlight w:val="none"/>
        </w:rPr>
        <w:t>具有同等法律效力，甲乙双方，各执</w:t>
      </w:r>
      <w:r>
        <w:rPr>
          <w:rFonts w:hint="eastAsia" w:ascii="宋体" w:hAnsi="宋体" w:eastAsia="宋体" w:cs="宋体"/>
          <w:color w:val="auto"/>
          <w:sz w:val="22"/>
          <w:szCs w:val="22"/>
          <w:highlight w:val="none"/>
          <w:lang w:val="en-US" w:eastAsia="zh-CN"/>
        </w:rPr>
        <w:t>贰</w:t>
      </w:r>
      <w:r>
        <w:rPr>
          <w:rFonts w:hint="eastAsia" w:ascii="宋体" w:hAnsi="宋体" w:eastAsia="宋体" w:cs="宋体"/>
          <w:color w:val="auto"/>
          <w:sz w:val="22"/>
          <w:szCs w:val="22"/>
          <w:highlight w:val="none"/>
        </w:rPr>
        <w:t xml:space="preserve">份。 </w:t>
      </w:r>
    </w:p>
    <w:p w14:paraId="261F5329">
      <w:pPr>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甲方（盖章）：                          乙方（盖章）：                 </w:t>
      </w:r>
    </w:p>
    <w:p w14:paraId="73E028C7">
      <w:pPr>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法定代表人：                           法定代表人：                </w:t>
      </w:r>
    </w:p>
    <w:p w14:paraId="176BB677">
      <w:pPr>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或授权代表（签字）：                    或授权代表（签字）：           </w:t>
      </w:r>
    </w:p>
    <w:p w14:paraId="377CD750">
      <w:pPr>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地址：                                 地址：    </w:t>
      </w:r>
    </w:p>
    <w:p w14:paraId="3CA78029">
      <w:pPr>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邮编：                                 邮编：                     </w:t>
      </w:r>
    </w:p>
    <w:p w14:paraId="11D3A08E">
      <w:pPr>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电话：                                 电话：             </w:t>
      </w:r>
    </w:p>
    <w:p w14:paraId="41DE4E03">
      <w:pPr>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传真：                                 传真：         </w:t>
      </w:r>
    </w:p>
    <w:p w14:paraId="16FD4D96">
      <w:pPr>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开户银行：                             开户银行：    </w:t>
      </w:r>
    </w:p>
    <w:p w14:paraId="5B2817B6">
      <w:pPr>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帐号：                                 帐号：     </w:t>
      </w:r>
    </w:p>
    <w:p w14:paraId="5AEA68CE">
      <w:pPr>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签约时间：      年    月   日</w:t>
      </w:r>
    </w:p>
    <w:p w14:paraId="1CB3C68A">
      <w:pPr>
        <w:rPr>
          <w:rFonts w:hint="eastAsia" w:ascii="宋体" w:hAnsi="宋体" w:cs="宋体"/>
          <w:color w:val="auto"/>
          <w:sz w:val="24"/>
          <w:highlight w:val="none"/>
        </w:rPr>
      </w:pPr>
      <w:r>
        <w:rPr>
          <w:rFonts w:hint="eastAsia" w:ascii="宋体" w:hAnsi="宋体" w:cs="宋体"/>
          <w:color w:val="auto"/>
          <w:sz w:val="24"/>
          <w:highlight w:val="none"/>
        </w:rPr>
        <w:br w:type="page"/>
      </w:r>
    </w:p>
    <w:p w14:paraId="4E640072">
      <w:pPr>
        <w:spacing w:line="360" w:lineRule="auto"/>
        <w:rPr>
          <w:rStyle w:val="41"/>
          <w:rFonts w:ascii="宋体" w:hAnsi="宋体" w:eastAsia="宋体" w:cs="宋体"/>
          <w:color w:val="auto"/>
          <w:highlight w:val="none"/>
        </w:rPr>
      </w:pPr>
      <w:r>
        <w:rPr>
          <w:rFonts w:hint="eastAsia" w:ascii="宋体" w:hAnsi="宋体" w:cs="宋体"/>
          <w:color w:val="auto"/>
          <w:sz w:val="24"/>
          <w:highlight w:val="none"/>
        </w:rPr>
        <w:t>附件1：采购内容及报价</w:t>
      </w:r>
    </w:p>
    <w:tbl>
      <w:tblPr>
        <w:tblStyle w:val="3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1711"/>
        <w:gridCol w:w="2315"/>
        <w:gridCol w:w="954"/>
        <w:gridCol w:w="960"/>
        <w:gridCol w:w="958"/>
        <w:gridCol w:w="958"/>
        <w:gridCol w:w="971"/>
      </w:tblGrid>
      <w:tr w14:paraId="39F491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21" w:type="pct"/>
            <w:noWrap w:val="0"/>
            <w:vAlign w:val="center"/>
          </w:tcPr>
          <w:p w14:paraId="2E5AD2DA">
            <w:pPr>
              <w:adjustRightInd w:val="0"/>
              <w:snapToGrid w:val="0"/>
              <w:jc w:val="center"/>
              <w:rPr>
                <w:rFonts w:hAnsi="宋体" w:cs="宋体"/>
                <w:b/>
                <w:bCs/>
                <w:color w:val="auto"/>
                <w:szCs w:val="21"/>
                <w:highlight w:val="none"/>
              </w:rPr>
            </w:pPr>
            <w:r>
              <w:rPr>
                <w:rFonts w:hint="eastAsia" w:hAnsi="宋体" w:cs="宋体"/>
                <w:b/>
                <w:bCs/>
                <w:color w:val="auto"/>
                <w:szCs w:val="21"/>
                <w:highlight w:val="none"/>
              </w:rPr>
              <w:t>序号</w:t>
            </w:r>
          </w:p>
        </w:tc>
        <w:tc>
          <w:tcPr>
            <w:tcW w:w="868" w:type="pct"/>
            <w:noWrap w:val="0"/>
            <w:vAlign w:val="center"/>
          </w:tcPr>
          <w:p w14:paraId="4D71FFB9">
            <w:pPr>
              <w:adjustRightInd w:val="0"/>
              <w:snapToGrid w:val="0"/>
              <w:jc w:val="center"/>
              <w:rPr>
                <w:rFonts w:hAnsi="宋体" w:cs="宋体"/>
                <w:b/>
                <w:bCs/>
                <w:color w:val="auto"/>
                <w:szCs w:val="21"/>
                <w:highlight w:val="none"/>
              </w:rPr>
            </w:pPr>
            <w:r>
              <w:rPr>
                <w:rFonts w:hint="eastAsia" w:hAnsi="宋体" w:cs="宋体"/>
                <w:b/>
                <w:bCs/>
                <w:color w:val="auto"/>
                <w:szCs w:val="21"/>
                <w:highlight w:val="none"/>
              </w:rPr>
              <w:t>采购内容</w:t>
            </w:r>
          </w:p>
        </w:tc>
        <w:tc>
          <w:tcPr>
            <w:tcW w:w="1174" w:type="pct"/>
            <w:noWrap w:val="0"/>
            <w:vAlign w:val="center"/>
          </w:tcPr>
          <w:p w14:paraId="11FA250E">
            <w:pPr>
              <w:adjustRightInd w:val="0"/>
              <w:snapToGrid w:val="0"/>
              <w:jc w:val="center"/>
              <w:rPr>
                <w:rFonts w:hAnsi="宋体" w:cs="宋体"/>
                <w:b/>
                <w:bCs/>
                <w:color w:val="auto"/>
                <w:szCs w:val="21"/>
                <w:highlight w:val="none"/>
              </w:rPr>
            </w:pPr>
            <w:r>
              <w:rPr>
                <w:rFonts w:hint="eastAsia" w:hAnsi="宋体" w:cs="宋体"/>
                <w:b/>
                <w:bCs/>
                <w:color w:val="auto"/>
                <w:szCs w:val="21"/>
                <w:highlight w:val="none"/>
              </w:rPr>
              <w:t>规格型号/产地</w:t>
            </w:r>
          </w:p>
        </w:tc>
        <w:tc>
          <w:tcPr>
            <w:tcW w:w="484" w:type="pct"/>
            <w:noWrap w:val="0"/>
            <w:vAlign w:val="center"/>
          </w:tcPr>
          <w:p w14:paraId="75692554">
            <w:pPr>
              <w:adjustRightInd w:val="0"/>
              <w:snapToGrid w:val="0"/>
              <w:jc w:val="center"/>
              <w:rPr>
                <w:rFonts w:hAnsi="宋体" w:cs="宋体"/>
                <w:b/>
                <w:bCs/>
                <w:color w:val="auto"/>
                <w:szCs w:val="21"/>
                <w:highlight w:val="none"/>
              </w:rPr>
            </w:pPr>
            <w:r>
              <w:rPr>
                <w:rFonts w:hint="eastAsia" w:hAnsi="宋体" w:cs="宋体"/>
                <w:b/>
                <w:bCs/>
                <w:color w:val="auto"/>
                <w:szCs w:val="21"/>
                <w:highlight w:val="none"/>
              </w:rPr>
              <w:t>单位</w:t>
            </w:r>
          </w:p>
        </w:tc>
        <w:tc>
          <w:tcPr>
            <w:tcW w:w="487" w:type="pct"/>
            <w:noWrap w:val="0"/>
            <w:vAlign w:val="center"/>
          </w:tcPr>
          <w:p w14:paraId="1B45EF8D">
            <w:pPr>
              <w:adjustRightInd w:val="0"/>
              <w:snapToGrid w:val="0"/>
              <w:jc w:val="center"/>
              <w:rPr>
                <w:rFonts w:hAnsi="宋体" w:cs="宋体"/>
                <w:b/>
                <w:bCs/>
                <w:color w:val="auto"/>
                <w:szCs w:val="21"/>
                <w:highlight w:val="none"/>
              </w:rPr>
            </w:pPr>
            <w:r>
              <w:rPr>
                <w:rFonts w:hint="eastAsia" w:hAnsi="宋体" w:cs="宋体"/>
                <w:b/>
                <w:bCs/>
                <w:color w:val="auto"/>
                <w:szCs w:val="21"/>
                <w:highlight w:val="none"/>
              </w:rPr>
              <w:t>数量</w:t>
            </w:r>
          </w:p>
        </w:tc>
        <w:tc>
          <w:tcPr>
            <w:tcW w:w="486" w:type="pct"/>
            <w:noWrap w:val="0"/>
            <w:vAlign w:val="center"/>
          </w:tcPr>
          <w:p w14:paraId="247C567C">
            <w:pPr>
              <w:adjustRightInd w:val="0"/>
              <w:snapToGrid w:val="0"/>
              <w:jc w:val="center"/>
              <w:rPr>
                <w:rFonts w:hAnsi="宋体" w:cs="宋体"/>
                <w:b/>
                <w:bCs/>
                <w:color w:val="auto"/>
                <w:szCs w:val="21"/>
                <w:highlight w:val="none"/>
              </w:rPr>
            </w:pPr>
            <w:r>
              <w:rPr>
                <w:rFonts w:hint="eastAsia" w:hAnsi="宋体" w:cs="宋体"/>
                <w:b/>
                <w:bCs/>
                <w:color w:val="auto"/>
                <w:szCs w:val="21"/>
                <w:highlight w:val="none"/>
              </w:rPr>
              <w:t>单价</w:t>
            </w:r>
          </w:p>
        </w:tc>
        <w:tc>
          <w:tcPr>
            <w:tcW w:w="486" w:type="pct"/>
            <w:noWrap w:val="0"/>
            <w:vAlign w:val="center"/>
          </w:tcPr>
          <w:p w14:paraId="3E9DE929">
            <w:pPr>
              <w:adjustRightInd w:val="0"/>
              <w:snapToGrid w:val="0"/>
              <w:jc w:val="center"/>
              <w:rPr>
                <w:rFonts w:hAnsi="宋体" w:cs="宋体"/>
                <w:b/>
                <w:bCs/>
                <w:color w:val="auto"/>
                <w:szCs w:val="21"/>
                <w:highlight w:val="none"/>
              </w:rPr>
            </w:pPr>
            <w:r>
              <w:rPr>
                <w:rFonts w:hint="eastAsia" w:hAnsi="宋体" w:cs="宋体"/>
                <w:b/>
                <w:bCs/>
                <w:color w:val="auto"/>
                <w:szCs w:val="21"/>
                <w:highlight w:val="none"/>
              </w:rPr>
              <w:t>总价</w:t>
            </w:r>
          </w:p>
        </w:tc>
        <w:tc>
          <w:tcPr>
            <w:tcW w:w="491" w:type="pct"/>
            <w:noWrap w:val="0"/>
            <w:vAlign w:val="center"/>
          </w:tcPr>
          <w:p w14:paraId="770F98E0">
            <w:pPr>
              <w:adjustRightInd w:val="0"/>
              <w:snapToGrid w:val="0"/>
              <w:jc w:val="center"/>
              <w:rPr>
                <w:rFonts w:hAnsi="宋体" w:cs="宋体"/>
                <w:b/>
                <w:bCs/>
                <w:color w:val="auto"/>
                <w:szCs w:val="21"/>
                <w:highlight w:val="none"/>
              </w:rPr>
            </w:pPr>
            <w:r>
              <w:rPr>
                <w:rFonts w:hint="eastAsia" w:hAnsi="宋体" w:cs="宋体"/>
                <w:b/>
                <w:bCs/>
                <w:color w:val="auto"/>
                <w:szCs w:val="21"/>
                <w:highlight w:val="none"/>
              </w:rPr>
              <w:t>备注</w:t>
            </w:r>
          </w:p>
        </w:tc>
      </w:tr>
      <w:tr w14:paraId="05CCEE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21" w:type="pct"/>
            <w:noWrap w:val="0"/>
            <w:vAlign w:val="center"/>
          </w:tcPr>
          <w:p w14:paraId="0925F0FC">
            <w:pPr>
              <w:adjustRightInd w:val="0"/>
              <w:snapToGrid w:val="0"/>
              <w:jc w:val="center"/>
              <w:rPr>
                <w:rFonts w:hAnsi="宋体" w:cs="宋体"/>
                <w:color w:val="auto"/>
                <w:szCs w:val="21"/>
                <w:highlight w:val="none"/>
              </w:rPr>
            </w:pPr>
          </w:p>
        </w:tc>
        <w:tc>
          <w:tcPr>
            <w:tcW w:w="868" w:type="pct"/>
            <w:noWrap w:val="0"/>
            <w:vAlign w:val="center"/>
          </w:tcPr>
          <w:p w14:paraId="7A366B5A">
            <w:pPr>
              <w:adjustRightInd w:val="0"/>
              <w:snapToGrid w:val="0"/>
              <w:jc w:val="center"/>
              <w:rPr>
                <w:rFonts w:hAnsi="宋体" w:cs="宋体"/>
                <w:color w:val="auto"/>
                <w:szCs w:val="21"/>
                <w:highlight w:val="none"/>
              </w:rPr>
            </w:pPr>
          </w:p>
        </w:tc>
        <w:tc>
          <w:tcPr>
            <w:tcW w:w="1174" w:type="pct"/>
            <w:noWrap w:val="0"/>
            <w:vAlign w:val="center"/>
          </w:tcPr>
          <w:p w14:paraId="23AD3D8A">
            <w:pPr>
              <w:adjustRightInd w:val="0"/>
              <w:snapToGrid w:val="0"/>
              <w:rPr>
                <w:rFonts w:hAnsi="宋体" w:cs="宋体"/>
                <w:color w:val="auto"/>
                <w:szCs w:val="21"/>
                <w:highlight w:val="none"/>
              </w:rPr>
            </w:pPr>
          </w:p>
        </w:tc>
        <w:tc>
          <w:tcPr>
            <w:tcW w:w="484" w:type="pct"/>
            <w:noWrap w:val="0"/>
            <w:vAlign w:val="center"/>
          </w:tcPr>
          <w:p w14:paraId="011F0338">
            <w:pPr>
              <w:adjustRightInd w:val="0"/>
              <w:snapToGrid w:val="0"/>
              <w:jc w:val="center"/>
              <w:rPr>
                <w:rFonts w:hAnsi="宋体" w:cs="宋体"/>
                <w:color w:val="auto"/>
                <w:szCs w:val="21"/>
                <w:highlight w:val="none"/>
              </w:rPr>
            </w:pPr>
          </w:p>
        </w:tc>
        <w:tc>
          <w:tcPr>
            <w:tcW w:w="487" w:type="pct"/>
            <w:noWrap w:val="0"/>
            <w:vAlign w:val="center"/>
          </w:tcPr>
          <w:p w14:paraId="7C04E9E0">
            <w:pPr>
              <w:adjustRightInd w:val="0"/>
              <w:snapToGrid w:val="0"/>
              <w:jc w:val="center"/>
              <w:rPr>
                <w:rFonts w:hAnsi="宋体" w:cs="宋体"/>
                <w:color w:val="auto"/>
                <w:sz w:val="18"/>
                <w:szCs w:val="18"/>
                <w:highlight w:val="none"/>
              </w:rPr>
            </w:pPr>
          </w:p>
        </w:tc>
        <w:tc>
          <w:tcPr>
            <w:tcW w:w="486" w:type="pct"/>
            <w:noWrap w:val="0"/>
            <w:vAlign w:val="center"/>
          </w:tcPr>
          <w:p w14:paraId="533894AC">
            <w:pPr>
              <w:adjustRightInd w:val="0"/>
              <w:snapToGrid w:val="0"/>
              <w:jc w:val="center"/>
              <w:rPr>
                <w:rFonts w:hAnsi="宋体" w:cs="宋体"/>
                <w:color w:val="auto"/>
                <w:sz w:val="18"/>
                <w:szCs w:val="18"/>
                <w:highlight w:val="none"/>
              </w:rPr>
            </w:pPr>
          </w:p>
        </w:tc>
        <w:tc>
          <w:tcPr>
            <w:tcW w:w="486" w:type="pct"/>
            <w:noWrap w:val="0"/>
            <w:vAlign w:val="center"/>
          </w:tcPr>
          <w:p w14:paraId="20DB8473">
            <w:pPr>
              <w:adjustRightInd w:val="0"/>
              <w:snapToGrid w:val="0"/>
              <w:jc w:val="center"/>
              <w:rPr>
                <w:rFonts w:hAnsi="宋体" w:cs="宋体"/>
                <w:color w:val="auto"/>
                <w:sz w:val="18"/>
                <w:szCs w:val="18"/>
                <w:highlight w:val="none"/>
              </w:rPr>
            </w:pPr>
          </w:p>
        </w:tc>
        <w:tc>
          <w:tcPr>
            <w:tcW w:w="491" w:type="pct"/>
            <w:noWrap w:val="0"/>
            <w:vAlign w:val="center"/>
          </w:tcPr>
          <w:p w14:paraId="06FE62E6">
            <w:pPr>
              <w:adjustRightInd w:val="0"/>
              <w:snapToGrid w:val="0"/>
              <w:jc w:val="center"/>
              <w:rPr>
                <w:rFonts w:hAnsi="宋体" w:cs="宋体"/>
                <w:color w:val="auto"/>
                <w:sz w:val="18"/>
                <w:szCs w:val="18"/>
                <w:highlight w:val="none"/>
              </w:rPr>
            </w:pPr>
          </w:p>
        </w:tc>
      </w:tr>
      <w:tr w14:paraId="0D5029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21" w:type="pct"/>
            <w:noWrap w:val="0"/>
            <w:vAlign w:val="center"/>
          </w:tcPr>
          <w:p w14:paraId="6BF35511">
            <w:pPr>
              <w:adjustRightInd w:val="0"/>
              <w:snapToGrid w:val="0"/>
              <w:jc w:val="center"/>
              <w:rPr>
                <w:rFonts w:hAnsi="宋体" w:cs="宋体"/>
                <w:color w:val="auto"/>
                <w:szCs w:val="21"/>
                <w:highlight w:val="none"/>
              </w:rPr>
            </w:pPr>
          </w:p>
        </w:tc>
        <w:tc>
          <w:tcPr>
            <w:tcW w:w="868" w:type="pct"/>
            <w:noWrap w:val="0"/>
            <w:vAlign w:val="center"/>
          </w:tcPr>
          <w:p w14:paraId="67A04672">
            <w:pPr>
              <w:adjustRightInd w:val="0"/>
              <w:snapToGrid w:val="0"/>
              <w:jc w:val="center"/>
              <w:rPr>
                <w:rFonts w:hAnsi="宋体" w:cs="宋体"/>
                <w:color w:val="auto"/>
                <w:szCs w:val="21"/>
                <w:highlight w:val="none"/>
              </w:rPr>
            </w:pPr>
          </w:p>
        </w:tc>
        <w:tc>
          <w:tcPr>
            <w:tcW w:w="1174" w:type="pct"/>
            <w:noWrap w:val="0"/>
            <w:vAlign w:val="center"/>
          </w:tcPr>
          <w:p w14:paraId="379D0E26">
            <w:pPr>
              <w:adjustRightInd w:val="0"/>
              <w:snapToGrid w:val="0"/>
              <w:rPr>
                <w:rFonts w:hAnsi="宋体" w:cs="宋体"/>
                <w:color w:val="auto"/>
                <w:szCs w:val="21"/>
                <w:highlight w:val="none"/>
              </w:rPr>
            </w:pPr>
          </w:p>
        </w:tc>
        <w:tc>
          <w:tcPr>
            <w:tcW w:w="484" w:type="pct"/>
            <w:noWrap w:val="0"/>
            <w:vAlign w:val="center"/>
          </w:tcPr>
          <w:p w14:paraId="043942B6">
            <w:pPr>
              <w:adjustRightInd w:val="0"/>
              <w:snapToGrid w:val="0"/>
              <w:jc w:val="center"/>
              <w:rPr>
                <w:rFonts w:hAnsi="宋体" w:cs="宋体"/>
                <w:color w:val="auto"/>
                <w:szCs w:val="21"/>
                <w:highlight w:val="none"/>
              </w:rPr>
            </w:pPr>
          </w:p>
        </w:tc>
        <w:tc>
          <w:tcPr>
            <w:tcW w:w="487" w:type="pct"/>
            <w:noWrap w:val="0"/>
            <w:vAlign w:val="center"/>
          </w:tcPr>
          <w:p w14:paraId="156CBA19">
            <w:pPr>
              <w:adjustRightInd w:val="0"/>
              <w:snapToGrid w:val="0"/>
              <w:jc w:val="center"/>
              <w:rPr>
                <w:rFonts w:hAnsi="宋体" w:cs="宋体"/>
                <w:color w:val="auto"/>
                <w:sz w:val="18"/>
                <w:szCs w:val="18"/>
                <w:highlight w:val="none"/>
              </w:rPr>
            </w:pPr>
          </w:p>
        </w:tc>
        <w:tc>
          <w:tcPr>
            <w:tcW w:w="486" w:type="pct"/>
            <w:noWrap w:val="0"/>
            <w:vAlign w:val="center"/>
          </w:tcPr>
          <w:p w14:paraId="3F1FA2DF">
            <w:pPr>
              <w:adjustRightInd w:val="0"/>
              <w:snapToGrid w:val="0"/>
              <w:jc w:val="center"/>
              <w:rPr>
                <w:rFonts w:hAnsi="宋体" w:cs="宋体"/>
                <w:color w:val="auto"/>
                <w:sz w:val="18"/>
                <w:szCs w:val="18"/>
                <w:highlight w:val="none"/>
              </w:rPr>
            </w:pPr>
          </w:p>
        </w:tc>
        <w:tc>
          <w:tcPr>
            <w:tcW w:w="486" w:type="pct"/>
            <w:noWrap w:val="0"/>
            <w:vAlign w:val="center"/>
          </w:tcPr>
          <w:p w14:paraId="54B060FC">
            <w:pPr>
              <w:adjustRightInd w:val="0"/>
              <w:snapToGrid w:val="0"/>
              <w:jc w:val="center"/>
              <w:rPr>
                <w:rFonts w:hAnsi="宋体" w:cs="宋体"/>
                <w:color w:val="auto"/>
                <w:sz w:val="18"/>
                <w:szCs w:val="18"/>
                <w:highlight w:val="none"/>
              </w:rPr>
            </w:pPr>
          </w:p>
        </w:tc>
        <w:tc>
          <w:tcPr>
            <w:tcW w:w="491" w:type="pct"/>
            <w:noWrap w:val="0"/>
            <w:vAlign w:val="center"/>
          </w:tcPr>
          <w:p w14:paraId="59B5F86F">
            <w:pPr>
              <w:adjustRightInd w:val="0"/>
              <w:snapToGrid w:val="0"/>
              <w:jc w:val="center"/>
              <w:rPr>
                <w:rFonts w:hAnsi="宋体" w:cs="宋体"/>
                <w:color w:val="auto"/>
                <w:sz w:val="18"/>
                <w:szCs w:val="18"/>
                <w:highlight w:val="none"/>
              </w:rPr>
            </w:pPr>
          </w:p>
        </w:tc>
      </w:tr>
      <w:tr w14:paraId="4983A0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21" w:type="pct"/>
            <w:noWrap w:val="0"/>
            <w:vAlign w:val="center"/>
          </w:tcPr>
          <w:p w14:paraId="5557C2C1">
            <w:pPr>
              <w:adjustRightInd w:val="0"/>
              <w:snapToGrid w:val="0"/>
              <w:jc w:val="center"/>
              <w:rPr>
                <w:rFonts w:hAnsi="宋体" w:cs="宋体"/>
                <w:color w:val="auto"/>
                <w:szCs w:val="21"/>
                <w:highlight w:val="none"/>
              </w:rPr>
            </w:pPr>
          </w:p>
        </w:tc>
        <w:tc>
          <w:tcPr>
            <w:tcW w:w="868" w:type="pct"/>
            <w:noWrap w:val="0"/>
            <w:vAlign w:val="center"/>
          </w:tcPr>
          <w:p w14:paraId="1C1ECBA6">
            <w:pPr>
              <w:adjustRightInd w:val="0"/>
              <w:snapToGrid w:val="0"/>
              <w:jc w:val="center"/>
              <w:rPr>
                <w:rFonts w:hAnsi="宋体" w:cs="宋体"/>
                <w:color w:val="auto"/>
                <w:szCs w:val="21"/>
                <w:highlight w:val="none"/>
              </w:rPr>
            </w:pPr>
          </w:p>
        </w:tc>
        <w:tc>
          <w:tcPr>
            <w:tcW w:w="1174" w:type="pct"/>
            <w:noWrap w:val="0"/>
            <w:vAlign w:val="center"/>
          </w:tcPr>
          <w:p w14:paraId="1764283E">
            <w:pPr>
              <w:adjustRightInd w:val="0"/>
              <w:snapToGrid w:val="0"/>
              <w:rPr>
                <w:rFonts w:hAnsi="宋体" w:cs="宋体"/>
                <w:color w:val="auto"/>
                <w:szCs w:val="21"/>
                <w:highlight w:val="none"/>
              </w:rPr>
            </w:pPr>
          </w:p>
        </w:tc>
        <w:tc>
          <w:tcPr>
            <w:tcW w:w="484" w:type="pct"/>
            <w:noWrap w:val="0"/>
            <w:vAlign w:val="center"/>
          </w:tcPr>
          <w:p w14:paraId="50764145">
            <w:pPr>
              <w:adjustRightInd w:val="0"/>
              <w:snapToGrid w:val="0"/>
              <w:jc w:val="center"/>
              <w:rPr>
                <w:rFonts w:hAnsi="宋体" w:cs="宋体"/>
                <w:color w:val="auto"/>
                <w:szCs w:val="21"/>
                <w:highlight w:val="none"/>
              </w:rPr>
            </w:pPr>
          </w:p>
        </w:tc>
        <w:tc>
          <w:tcPr>
            <w:tcW w:w="487" w:type="pct"/>
            <w:noWrap w:val="0"/>
            <w:vAlign w:val="center"/>
          </w:tcPr>
          <w:p w14:paraId="2C508750">
            <w:pPr>
              <w:adjustRightInd w:val="0"/>
              <w:snapToGrid w:val="0"/>
              <w:jc w:val="center"/>
              <w:rPr>
                <w:rFonts w:hAnsi="宋体" w:cs="宋体"/>
                <w:color w:val="auto"/>
                <w:sz w:val="18"/>
                <w:szCs w:val="18"/>
                <w:highlight w:val="none"/>
              </w:rPr>
            </w:pPr>
          </w:p>
        </w:tc>
        <w:tc>
          <w:tcPr>
            <w:tcW w:w="486" w:type="pct"/>
            <w:noWrap w:val="0"/>
            <w:vAlign w:val="center"/>
          </w:tcPr>
          <w:p w14:paraId="73A177BB">
            <w:pPr>
              <w:adjustRightInd w:val="0"/>
              <w:snapToGrid w:val="0"/>
              <w:jc w:val="center"/>
              <w:rPr>
                <w:rFonts w:hAnsi="宋体" w:cs="宋体"/>
                <w:color w:val="auto"/>
                <w:sz w:val="18"/>
                <w:szCs w:val="18"/>
                <w:highlight w:val="none"/>
              </w:rPr>
            </w:pPr>
          </w:p>
        </w:tc>
        <w:tc>
          <w:tcPr>
            <w:tcW w:w="486" w:type="pct"/>
            <w:noWrap w:val="0"/>
            <w:vAlign w:val="center"/>
          </w:tcPr>
          <w:p w14:paraId="6D996D4F">
            <w:pPr>
              <w:adjustRightInd w:val="0"/>
              <w:snapToGrid w:val="0"/>
              <w:jc w:val="center"/>
              <w:rPr>
                <w:rFonts w:hAnsi="宋体" w:cs="宋体"/>
                <w:color w:val="auto"/>
                <w:sz w:val="18"/>
                <w:szCs w:val="18"/>
                <w:highlight w:val="none"/>
              </w:rPr>
            </w:pPr>
          </w:p>
        </w:tc>
        <w:tc>
          <w:tcPr>
            <w:tcW w:w="491" w:type="pct"/>
            <w:noWrap w:val="0"/>
            <w:vAlign w:val="center"/>
          </w:tcPr>
          <w:p w14:paraId="35BDCA0B">
            <w:pPr>
              <w:adjustRightInd w:val="0"/>
              <w:snapToGrid w:val="0"/>
              <w:jc w:val="center"/>
              <w:rPr>
                <w:rFonts w:hAnsi="宋体" w:cs="宋体"/>
                <w:color w:val="auto"/>
                <w:sz w:val="18"/>
                <w:szCs w:val="18"/>
                <w:highlight w:val="none"/>
              </w:rPr>
            </w:pPr>
          </w:p>
        </w:tc>
      </w:tr>
      <w:tr w14:paraId="4AF62C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21" w:type="pct"/>
            <w:noWrap w:val="0"/>
            <w:vAlign w:val="center"/>
          </w:tcPr>
          <w:p w14:paraId="4E00493D">
            <w:pPr>
              <w:adjustRightInd w:val="0"/>
              <w:snapToGrid w:val="0"/>
              <w:jc w:val="center"/>
              <w:rPr>
                <w:rFonts w:hAnsi="宋体" w:cs="宋体"/>
                <w:color w:val="auto"/>
                <w:szCs w:val="21"/>
                <w:highlight w:val="none"/>
              </w:rPr>
            </w:pPr>
          </w:p>
        </w:tc>
        <w:tc>
          <w:tcPr>
            <w:tcW w:w="868" w:type="pct"/>
            <w:noWrap w:val="0"/>
            <w:vAlign w:val="center"/>
          </w:tcPr>
          <w:p w14:paraId="6BD3E75C">
            <w:pPr>
              <w:adjustRightInd w:val="0"/>
              <w:snapToGrid w:val="0"/>
              <w:jc w:val="center"/>
              <w:rPr>
                <w:rFonts w:hAnsi="宋体" w:cs="宋体"/>
                <w:color w:val="auto"/>
                <w:szCs w:val="21"/>
                <w:highlight w:val="none"/>
              </w:rPr>
            </w:pPr>
          </w:p>
        </w:tc>
        <w:tc>
          <w:tcPr>
            <w:tcW w:w="1174" w:type="pct"/>
            <w:noWrap w:val="0"/>
            <w:vAlign w:val="center"/>
          </w:tcPr>
          <w:p w14:paraId="09AD5C48">
            <w:pPr>
              <w:adjustRightInd w:val="0"/>
              <w:snapToGrid w:val="0"/>
              <w:rPr>
                <w:rFonts w:hAnsi="宋体" w:cs="宋体"/>
                <w:color w:val="auto"/>
                <w:szCs w:val="21"/>
                <w:highlight w:val="none"/>
              </w:rPr>
            </w:pPr>
          </w:p>
        </w:tc>
        <w:tc>
          <w:tcPr>
            <w:tcW w:w="484" w:type="pct"/>
            <w:noWrap w:val="0"/>
            <w:vAlign w:val="center"/>
          </w:tcPr>
          <w:p w14:paraId="7B5F996F">
            <w:pPr>
              <w:adjustRightInd w:val="0"/>
              <w:snapToGrid w:val="0"/>
              <w:jc w:val="center"/>
              <w:rPr>
                <w:rFonts w:hAnsi="宋体" w:cs="宋体"/>
                <w:color w:val="auto"/>
                <w:szCs w:val="21"/>
                <w:highlight w:val="none"/>
              </w:rPr>
            </w:pPr>
          </w:p>
        </w:tc>
        <w:tc>
          <w:tcPr>
            <w:tcW w:w="487" w:type="pct"/>
            <w:noWrap w:val="0"/>
            <w:vAlign w:val="center"/>
          </w:tcPr>
          <w:p w14:paraId="49D8E4EA">
            <w:pPr>
              <w:adjustRightInd w:val="0"/>
              <w:snapToGrid w:val="0"/>
              <w:jc w:val="center"/>
              <w:rPr>
                <w:rFonts w:hAnsi="宋体" w:cs="宋体"/>
                <w:color w:val="auto"/>
                <w:sz w:val="18"/>
                <w:szCs w:val="18"/>
                <w:highlight w:val="none"/>
              </w:rPr>
            </w:pPr>
          </w:p>
        </w:tc>
        <w:tc>
          <w:tcPr>
            <w:tcW w:w="486" w:type="pct"/>
            <w:noWrap w:val="0"/>
            <w:vAlign w:val="center"/>
          </w:tcPr>
          <w:p w14:paraId="1EFDEACF">
            <w:pPr>
              <w:adjustRightInd w:val="0"/>
              <w:snapToGrid w:val="0"/>
              <w:jc w:val="center"/>
              <w:rPr>
                <w:rFonts w:hAnsi="宋体" w:cs="宋体"/>
                <w:color w:val="auto"/>
                <w:sz w:val="18"/>
                <w:szCs w:val="18"/>
                <w:highlight w:val="none"/>
              </w:rPr>
            </w:pPr>
          </w:p>
        </w:tc>
        <w:tc>
          <w:tcPr>
            <w:tcW w:w="486" w:type="pct"/>
            <w:noWrap w:val="0"/>
            <w:vAlign w:val="center"/>
          </w:tcPr>
          <w:p w14:paraId="380724EF">
            <w:pPr>
              <w:adjustRightInd w:val="0"/>
              <w:snapToGrid w:val="0"/>
              <w:jc w:val="center"/>
              <w:rPr>
                <w:rFonts w:hAnsi="宋体" w:cs="宋体"/>
                <w:color w:val="auto"/>
                <w:sz w:val="18"/>
                <w:szCs w:val="18"/>
                <w:highlight w:val="none"/>
              </w:rPr>
            </w:pPr>
          </w:p>
        </w:tc>
        <w:tc>
          <w:tcPr>
            <w:tcW w:w="491" w:type="pct"/>
            <w:noWrap w:val="0"/>
            <w:vAlign w:val="center"/>
          </w:tcPr>
          <w:p w14:paraId="7CBBFB1B">
            <w:pPr>
              <w:adjustRightInd w:val="0"/>
              <w:snapToGrid w:val="0"/>
              <w:jc w:val="center"/>
              <w:rPr>
                <w:rFonts w:hAnsi="宋体" w:cs="宋体"/>
                <w:color w:val="auto"/>
                <w:sz w:val="18"/>
                <w:szCs w:val="18"/>
                <w:highlight w:val="none"/>
              </w:rPr>
            </w:pPr>
          </w:p>
        </w:tc>
      </w:tr>
      <w:tr w14:paraId="3A5BB2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521" w:type="pct"/>
            <w:noWrap w:val="0"/>
            <w:vAlign w:val="center"/>
          </w:tcPr>
          <w:p w14:paraId="61FDB481">
            <w:pPr>
              <w:adjustRightInd w:val="0"/>
              <w:snapToGrid w:val="0"/>
              <w:jc w:val="center"/>
              <w:rPr>
                <w:rFonts w:hAnsi="宋体" w:cs="宋体"/>
                <w:color w:val="auto"/>
                <w:szCs w:val="21"/>
                <w:highlight w:val="none"/>
              </w:rPr>
            </w:pPr>
          </w:p>
        </w:tc>
        <w:tc>
          <w:tcPr>
            <w:tcW w:w="868" w:type="pct"/>
            <w:noWrap w:val="0"/>
            <w:vAlign w:val="center"/>
          </w:tcPr>
          <w:p w14:paraId="738AC979">
            <w:pPr>
              <w:adjustRightInd w:val="0"/>
              <w:snapToGrid w:val="0"/>
              <w:jc w:val="center"/>
              <w:rPr>
                <w:rFonts w:hAnsi="宋体" w:cs="宋体"/>
                <w:color w:val="auto"/>
                <w:szCs w:val="21"/>
                <w:highlight w:val="none"/>
              </w:rPr>
            </w:pPr>
          </w:p>
        </w:tc>
        <w:tc>
          <w:tcPr>
            <w:tcW w:w="1174" w:type="pct"/>
            <w:noWrap w:val="0"/>
            <w:vAlign w:val="center"/>
          </w:tcPr>
          <w:p w14:paraId="21541842">
            <w:pPr>
              <w:adjustRightInd w:val="0"/>
              <w:snapToGrid w:val="0"/>
              <w:rPr>
                <w:rFonts w:hAnsi="宋体" w:cs="宋体"/>
                <w:color w:val="auto"/>
                <w:szCs w:val="21"/>
                <w:highlight w:val="none"/>
              </w:rPr>
            </w:pPr>
          </w:p>
        </w:tc>
        <w:tc>
          <w:tcPr>
            <w:tcW w:w="484" w:type="pct"/>
            <w:noWrap w:val="0"/>
            <w:vAlign w:val="center"/>
          </w:tcPr>
          <w:p w14:paraId="5D1D6BF9">
            <w:pPr>
              <w:adjustRightInd w:val="0"/>
              <w:snapToGrid w:val="0"/>
              <w:jc w:val="center"/>
              <w:rPr>
                <w:rFonts w:hAnsi="宋体" w:cs="宋体"/>
                <w:color w:val="auto"/>
                <w:szCs w:val="21"/>
                <w:highlight w:val="none"/>
              </w:rPr>
            </w:pPr>
          </w:p>
        </w:tc>
        <w:tc>
          <w:tcPr>
            <w:tcW w:w="487" w:type="pct"/>
            <w:noWrap w:val="0"/>
            <w:vAlign w:val="center"/>
          </w:tcPr>
          <w:p w14:paraId="105A68C8">
            <w:pPr>
              <w:adjustRightInd w:val="0"/>
              <w:snapToGrid w:val="0"/>
              <w:jc w:val="center"/>
              <w:rPr>
                <w:rFonts w:hAnsi="宋体" w:cs="宋体"/>
                <w:color w:val="auto"/>
                <w:sz w:val="18"/>
                <w:szCs w:val="18"/>
                <w:highlight w:val="none"/>
              </w:rPr>
            </w:pPr>
          </w:p>
        </w:tc>
        <w:tc>
          <w:tcPr>
            <w:tcW w:w="486" w:type="pct"/>
            <w:noWrap w:val="0"/>
            <w:vAlign w:val="center"/>
          </w:tcPr>
          <w:p w14:paraId="6C742765">
            <w:pPr>
              <w:adjustRightInd w:val="0"/>
              <w:snapToGrid w:val="0"/>
              <w:jc w:val="center"/>
              <w:rPr>
                <w:rFonts w:hAnsi="宋体" w:cs="宋体"/>
                <w:color w:val="auto"/>
                <w:sz w:val="18"/>
                <w:szCs w:val="18"/>
                <w:highlight w:val="none"/>
              </w:rPr>
            </w:pPr>
          </w:p>
        </w:tc>
        <w:tc>
          <w:tcPr>
            <w:tcW w:w="486" w:type="pct"/>
            <w:noWrap w:val="0"/>
            <w:vAlign w:val="center"/>
          </w:tcPr>
          <w:p w14:paraId="5AB48ACD">
            <w:pPr>
              <w:adjustRightInd w:val="0"/>
              <w:snapToGrid w:val="0"/>
              <w:jc w:val="center"/>
              <w:rPr>
                <w:rFonts w:hAnsi="宋体" w:cs="宋体"/>
                <w:color w:val="auto"/>
                <w:sz w:val="18"/>
                <w:szCs w:val="18"/>
                <w:highlight w:val="none"/>
              </w:rPr>
            </w:pPr>
          </w:p>
        </w:tc>
        <w:tc>
          <w:tcPr>
            <w:tcW w:w="491" w:type="pct"/>
            <w:noWrap w:val="0"/>
            <w:vAlign w:val="center"/>
          </w:tcPr>
          <w:p w14:paraId="54D9A707">
            <w:pPr>
              <w:adjustRightInd w:val="0"/>
              <w:snapToGrid w:val="0"/>
              <w:jc w:val="center"/>
              <w:rPr>
                <w:rFonts w:hAnsi="宋体" w:cs="宋体"/>
                <w:color w:val="auto"/>
                <w:sz w:val="18"/>
                <w:szCs w:val="18"/>
                <w:highlight w:val="none"/>
              </w:rPr>
            </w:pPr>
          </w:p>
        </w:tc>
      </w:tr>
      <w:tr w14:paraId="1A333F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521" w:type="pct"/>
            <w:noWrap w:val="0"/>
            <w:vAlign w:val="center"/>
          </w:tcPr>
          <w:p w14:paraId="707E9394">
            <w:pPr>
              <w:adjustRightInd w:val="0"/>
              <w:snapToGrid w:val="0"/>
              <w:jc w:val="center"/>
              <w:rPr>
                <w:rFonts w:hAnsi="宋体" w:cs="宋体"/>
                <w:color w:val="auto"/>
                <w:szCs w:val="21"/>
                <w:highlight w:val="none"/>
              </w:rPr>
            </w:pPr>
          </w:p>
        </w:tc>
        <w:tc>
          <w:tcPr>
            <w:tcW w:w="868" w:type="pct"/>
            <w:noWrap w:val="0"/>
            <w:vAlign w:val="center"/>
          </w:tcPr>
          <w:p w14:paraId="7D0B3922">
            <w:pPr>
              <w:adjustRightInd w:val="0"/>
              <w:snapToGrid w:val="0"/>
              <w:jc w:val="center"/>
              <w:rPr>
                <w:rFonts w:hAnsi="宋体" w:cs="宋体"/>
                <w:color w:val="auto"/>
                <w:szCs w:val="21"/>
                <w:highlight w:val="none"/>
              </w:rPr>
            </w:pPr>
          </w:p>
        </w:tc>
        <w:tc>
          <w:tcPr>
            <w:tcW w:w="1174" w:type="pct"/>
            <w:noWrap w:val="0"/>
            <w:vAlign w:val="center"/>
          </w:tcPr>
          <w:p w14:paraId="10D2908C">
            <w:pPr>
              <w:adjustRightInd w:val="0"/>
              <w:snapToGrid w:val="0"/>
              <w:jc w:val="left"/>
              <w:rPr>
                <w:rFonts w:hAnsi="宋体" w:cs="宋体"/>
                <w:color w:val="auto"/>
                <w:szCs w:val="21"/>
                <w:highlight w:val="none"/>
              </w:rPr>
            </w:pPr>
          </w:p>
        </w:tc>
        <w:tc>
          <w:tcPr>
            <w:tcW w:w="484" w:type="pct"/>
            <w:noWrap w:val="0"/>
            <w:vAlign w:val="center"/>
          </w:tcPr>
          <w:p w14:paraId="7CD736AE">
            <w:pPr>
              <w:adjustRightInd w:val="0"/>
              <w:snapToGrid w:val="0"/>
              <w:jc w:val="center"/>
              <w:rPr>
                <w:rFonts w:hAnsi="宋体" w:cs="宋体"/>
                <w:color w:val="auto"/>
                <w:szCs w:val="21"/>
                <w:highlight w:val="none"/>
              </w:rPr>
            </w:pPr>
          </w:p>
        </w:tc>
        <w:tc>
          <w:tcPr>
            <w:tcW w:w="487" w:type="pct"/>
            <w:noWrap w:val="0"/>
            <w:vAlign w:val="center"/>
          </w:tcPr>
          <w:p w14:paraId="72A83F9E">
            <w:pPr>
              <w:adjustRightInd w:val="0"/>
              <w:snapToGrid w:val="0"/>
              <w:jc w:val="center"/>
              <w:rPr>
                <w:rFonts w:hAnsi="宋体" w:cs="宋体"/>
                <w:color w:val="auto"/>
                <w:sz w:val="18"/>
                <w:szCs w:val="18"/>
                <w:highlight w:val="none"/>
              </w:rPr>
            </w:pPr>
          </w:p>
        </w:tc>
        <w:tc>
          <w:tcPr>
            <w:tcW w:w="486" w:type="pct"/>
            <w:noWrap w:val="0"/>
            <w:vAlign w:val="center"/>
          </w:tcPr>
          <w:p w14:paraId="2B1D0127">
            <w:pPr>
              <w:adjustRightInd w:val="0"/>
              <w:snapToGrid w:val="0"/>
              <w:jc w:val="center"/>
              <w:rPr>
                <w:rFonts w:hAnsi="宋体" w:cs="宋体"/>
                <w:color w:val="auto"/>
                <w:sz w:val="18"/>
                <w:szCs w:val="18"/>
                <w:highlight w:val="none"/>
              </w:rPr>
            </w:pPr>
          </w:p>
        </w:tc>
        <w:tc>
          <w:tcPr>
            <w:tcW w:w="486" w:type="pct"/>
            <w:noWrap w:val="0"/>
            <w:vAlign w:val="center"/>
          </w:tcPr>
          <w:p w14:paraId="00DCD093">
            <w:pPr>
              <w:adjustRightInd w:val="0"/>
              <w:snapToGrid w:val="0"/>
              <w:jc w:val="center"/>
              <w:rPr>
                <w:rFonts w:hAnsi="宋体" w:cs="宋体"/>
                <w:color w:val="auto"/>
                <w:sz w:val="18"/>
                <w:szCs w:val="18"/>
                <w:highlight w:val="none"/>
              </w:rPr>
            </w:pPr>
          </w:p>
        </w:tc>
        <w:tc>
          <w:tcPr>
            <w:tcW w:w="491" w:type="pct"/>
            <w:noWrap w:val="0"/>
            <w:vAlign w:val="center"/>
          </w:tcPr>
          <w:p w14:paraId="2F38835C">
            <w:pPr>
              <w:adjustRightInd w:val="0"/>
              <w:snapToGrid w:val="0"/>
              <w:jc w:val="center"/>
              <w:rPr>
                <w:rFonts w:hAnsi="宋体" w:cs="宋体"/>
                <w:color w:val="auto"/>
                <w:sz w:val="18"/>
                <w:szCs w:val="18"/>
                <w:highlight w:val="none"/>
              </w:rPr>
            </w:pPr>
          </w:p>
        </w:tc>
      </w:tr>
      <w:tr w14:paraId="53F78B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21" w:type="pct"/>
            <w:noWrap w:val="0"/>
            <w:vAlign w:val="center"/>
          </w:tcPr>
          <w:p w14:paraId="624DD50B">
            <w:pPr>
              <w:adjustRightInd w:val="0"/>
              <w:snapToGrid w:val="0"/>
              <w:jc w:val="center"/>
              <w:rPr>
                <w:rFonts w:hAnsi="宋体" w:cs="宋体"/>
                <w:color w:val="auto"/>
                <w:szCs w:val="21"/>
                <w:highlight w:val="none"/>
              </w:rPr>
            </w:pPr>
          </w:p>
        </w:tc>
        <w:tc>
          <w:tcPr>
            <w:tcW w:w="868" w:type="pct"/>
            <w:noWrap w:val="0"/>
            <w:vAlign w:val="center"/>
          </w:tcPr>
          <w:p w14:paraId="4022D4E3">
            <w:pPr>
              <w:adjustRightInd w:val="0"/>
              <w:snapToGrid w:val="0"/>
              <w:jc w:val="center"/>
              <w:rPr>
                <w:rFonts w:hAnsi="宋体" w:cs="宋体"/>
                <w:color w:val="auto"/>
                <w:szCs w:val="21"/>
                <w:highlight w:val="none"/>
              </w:rPr>
            </w:pPr>
          </w:p>
        </w:tc>
        <w:tc>
          <w:tcPr>
            <w:tcW w:w="1174" w:type="pct"/>
            <w:noWrap w:val="0"/>
            <w:vAlign w:val="center"/>
          </w:tcPr>
          <w:p w14:paraId="544239CE">
            <w:pPr>
              <w:adjustRightInd w:val="0"/>
              <w:snapToGrid w:val="0"/>
              <w:jc w:val="left"/>
              <w:rPr>
                <w:rFonts w:hAnsi="宋体" w:cs="宋体"/>
                <w:color w:val="auto"/>
                <w:szCs w:val="21"/>
                <w:highlight w:val="none"/>
              </w:rPr>
            </w:pPr>
          </w:p>
        </w:tc>
        <w:tc>
          <w:tcPr>
            <w:tcW w:w="484" w:type="pct"/>
            <w:noWrap w:val="0"/>
            <w:vAlign w:val="center"/>
          </w:tcPr>
          <w:p w14:paraId="2F73FF34">
            <w:pPr>
              <w:adjustRightInd w:val="0"/>
              <w:snapToGrid w:val="0"/>
              <w:jc w:val="center"/>
              <w:rPr>
                <w:rFonts w:hAnsi="宋体" w:cs="宋体"/>
                <w:color w:val="auto"/>
                <w:szCs w:val="21"/>
                <w:highlight w:val="none"/>
              </w:rPr>
            </w:pPr>
          </w:p>
        </w:tc>
        <w:tc>
          <w:tcPr>
            <w:tcW w:w="487" w:type="pct"/>
            <w:noWrap w:val="0"/>
            <w:vAlign w:val="center"/>
          </w:tcPr>
          <w:p w14:paraId="42FA600F">
            <w:pPr>
              <w:adjustRightInd w:val="0"/>
              <w:snapToGrid w:val="0"/>
              <w:jc w:val="center"/>
              <w:rPr>
                <w:rFonts w:hAnsi="宋体" w:cs="宋体"/>
                <w:color w:val="auto"/>
                <w:sz w:val="18"/>
                <w:szCs w:val="18"/>
                <w:highlight w:val="none"/>
              </w:rPr>
            </w:pPr>
          </w:p>
        </w:tc>
        <w:tc>
          <w:tcPr>
            <w:tcW w:w="486" w:type="pct"/>
            <w:noWrap w:val="0"/>
            <w:vAlign w:val="center"/>
          </w:tcPr>
          <w:p w14:paraId="400FE829">
            <w:pPr>
              <w:adjustRightInd w:val="0"/>
              <w:snapToGrid w:val="0"/>
              <w:jc w:val="center"/>
              <w:rPr>
                <w:rFonts w:hAnsi="宋体" w:cs="宋体"/>
                <w:color w:val="auto"/>
                <w:sz w:val="18"/>
                <w:szCs w:val="18"/>
                <w:highlight w:val="none"/>
              </w:rPr>
            </w:pPr>
          </w:p>
        </w:tc>
        <w:tc>
          <w:tcPr>
            <w:tcW w:w="486" w:type="pct"/>
            <w:noWrap w:val="0"/>
            <w:vAlign w:val="center"/>
          </w:tcPr>
          <w:p w14:paraId="68764510">
            <w:pPr>
              <w:adjustRightInd w:val="0"/>
              <w:snapToGrid w:val="0"/>
              <w:jc w:val="center"/>
              <w:rPr>
                <w:rFonts w:hAnsi="宋体" w:cs="宋体"/>
                <w:color w:val="auto"/>
                <w:sz w:val="18"/>
                <w:szCs w:val="18"/>
                <w:highlight w:val="none"/>
              </w:rPr>
            </w:pPr>
          </w:p>
        </w:tc>
        <w:tc>
          <w:tcPr>
            <w:tcW w:w="491" w:type="pct"/>
            <w:noWrap w:val="0"/>
            <w:vAlign w:val="center"/>
          </w:tcPr>
          <w:p w14:paraId="6607B032">
            <w:pPr>
              <w:adjustRightInd w:val="0"/>
              <w:snapToGrid w:val="0"/>
              <w:jc w:val="center"/>
              <w:rPr>
                <w:rFonts w:hAnsi="宋体" w:cs="宋体"/>
                <w:color w:val="auto"/>
                <w:sz w:val="18"/>
                <w:szCs w:val="18"/>
                <w:highlight w:val="none"/>
              </w:rPr>
            </w:pPr>
          </w:p>
        </w:tc>
      </w:tr>
      <w:tr w14:paraId="22A3C5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21" w:type="pct"/>
            <w:noWrap w:val="0"/>
            <w:vAlign w:val="center"/>
          </w:tcPr>
          <w:p w14:paraId="438C198B">
            <w:pPr>
              <w:adjustRightInd w:val="0"/>
              <w:snapToGrid w:val="0"/>
              <w:jc w:val="center"/>
              <w:rPr>
                <w:rFonts w:hAnsi="宋体" w:cs="宋体"/>
                <w:color w:val="auto"/>
                <w:szCs w:val="21"/>
                <w:highlight w:val="none"/>
              </w:rPr>
            </w:pPr>
          </w:p>
        </w:tc>
        <w:tc>
          <w:tcPr>
            <w:tcW w:w="868" w:type="pct"/>
            <w:noWrap w:val="0"/>
            <w:vAlign w:val="center"/>
          </w:tcPr>
          <w:p w14:paraId="615AC9B9">
            <w:pPr>
              <w:adjustRightInd w:val="0"/>
              <w:snapToGrid w:val="0"/>
              <w:jc w:val="center"/>
              <w:rPr>
                <w:rFonts w:hAnsi="宋体" w:cs="宋体"/>
                <w:color w:val="auto"/>
                <w:szCs w:val="21"/>
                <w:highlight w:val="none"/>
              </w:rPr>
            </w:pPr>
          </w:p>
        </w:tc>
        <w:tc>
          <w:tcPr>
            <w:tcW w:w="1174" w:type="pct"/>
            <w:noWrap w:val="0"/>
            <w:vAlign w:val="center"/>
          </w:tcPr>
          <w:p w14:paraId="6FA6C82D">
            <w:pPr>
              <w:adjustRightInd w:val="0"/>
              <w:snapToGrid w:val="0"/>
              <w:jc w:val="left"/>
              <w:rPr>
                <w:rFonts w:hAnsi="宋体" w:cs="宋体"/>
                <w:color w:val="auto"/>
                <w:szCs w:val="21"/>
                <w:highlight w:val="none"/>
              </w:rPr>
            </w:pPr>
          </w:p>
        </w:tc>
        <w:tc>
          <w:tcPr>
            <w:tcW w:w="484" w:type="pct"/>
            <w:noWrap w:val="0"/>
            <w:vAlign w:val="center"/>
          </w:tcPr>
          <w:p w14:paraId="3FE21C26">
            <w:pPr>
              <w:adjustRightInd w:val="0"/>
              <w:snapToGrid w:val="0"/>
              <w:jc w:val="center"/>
              <w:rPr>
                <w:rFonts w:hAnsi="宋体" w:cs="宋体"/>
                <w:color w:val="auto"/>
                <w:szCs w:val="21"/>
                <w:highlight w:val="none"/>
              </w:rPr>
            </w:pPr>
          </w:p>
        </w:tc>
        <w:tc>
          <w:tcPr>
            <w:tcW w:w="487" w:type="pct"/>
            <w:noWrap w:val="0"/>
            <w:vAlign w:val="center"/>
          </w:tcPr>
          <w:p w14:paraId="1DCAB449">
            <w:pPr>
              <w:adjustRightInd w:val="0"/>
              <w:snapToGrid w:val="0"/>
              <w:jc w:val="center"/>
              <w:rPr>
                <w:rFonts w:hAnsi="宋体" w:cs="宋体"/>
                <w:color w:val="auto"/>
                <w:sz w:val="18"/>
                <w:szCs w:val="18"/>
                <w:highlight w:val="none"/>
              </w:rPr>
            </w:pPr>
          </w:p>
        </w:tc>
        <w:tc>
          <w:tcPr>
            <w:tcW w:w="486" w:type="pct"/>
            <w:noWrap w:val="0"/>
            <w:vAlign w:val="center"/>
          </w:tcPr>
          <w:p w14:paraId="3CF49724">
            <w:pPr>
              <w:adjustRightInd w:val="0"/>
              <w:snapToGrid w:val="0"/>
              <w:jc w:val="center"/>
              <w:rPr>
                <w:rFonts w:hAnsi="宋体" w:cs="宋体"/>
                <w:color w:val="auto"/>
                <w:sz w:val="18"/>
                <w:szCs w:val="18"/>
                <w:highlight w:val="none"/>
              </w:rPr>
            </w:pPr>
          </w:p>
        </w:tc>
        <w:tc>
          <w:tcPr>
            <w:tcW w:w="486" w:type="pct"/>
            <w:noWrap w:val="0"/>
            <w:vAlign w:val="center"/>
          </w:tcPr>
          <w:p w14:paraId="51EED5E9">
            <w:pPr>
              <w:adjustRightInd w:val="0"/>
              <w:snapToGrid w:val="0"/>
              <w:jc w:val="center"/>
              <w:rPr>
                <w:rFonts w:hAnsi="宋体" w:cs="宋体"/>
                <w:color w:val="auto"/>
                <w:sz w:val="18"/>
                <w:szCs w:val="18"/>
                <w:highlight w:val="none"/>
              </w:rPr>
            </w:pPr>
          </w:p>
        </w:tc>
        <w:tc>
          <w:tcPr>
            <w:tcW w:w="491" w:type="pct"/>
            <w:noWrap w:val="0"/>
            <w:vAlign w:val="center"/>
          </w:tcPr>
          <w:p w14:paraId="3BEE2537">
            <w:pPr>
              <w:adjustRightInd w:val="0"/>
              <w:snapToGrid w:val="0"/>
              <w:jc w:val="center"/>
              <w:rPr>
                <w:rFonts w:hAnsi="宋体" w:cs="宋体"/>
                <w:color w:val="auto"/>
                <w:sz w:val="18"/>
                <w:szCs w:val="18"/>
                <w:highlight w:val="none"/>
              </w:rPr>
            </w:pPr>
          </w:p>
        </w:tc>
      </w:tr>
      <w:tr w14:paraId="0491D6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21" w:type="pct"/>
            <w:noWrap w:val="0"/>
            <w:vAlign w:val="center"/>
          </w:tcPr>
          <w:p w14:paraId="6CFAD2D9">
            <w:pPr>
              <w:adjustRightInd w:val="0"/>
              <w:snapToGrid w:val="0"/>
              <w:jc w:val="center"/>
              <w:rPr>
                <w:rFonts w:hAnsi="宋体" w:cs="宋体"/>
                <w:color w:val="auto"/>
                <w:szCs w:val="21"/>
                <w:highlight w:val="none"/>
              </w:rPr>
            </w:pPr>
          </w:p>
        </w:tc>
        <w:tc>
          <w:tcPr>
            <w:tcW w:w="868" w:type="pct"/>
            <w:noWrap w:val="0"/>
            <w:vAlign w:val="center"/>
          </w:tcPr>
          <w:p w14:paraId="7EA0DDD4">
            <w:pPr>
              <w:adjustRightInd w:val="0"/>
              <w:snapToGrid w:val="0"/>
              <w:jc w:val="center"/>
              <w:rPr>
                <w:rFonts w:hAnsi="宋体" w:cs="宋体"/>
                <w:color w:val="auto"/>
                <w:szCs w:val="21"/>
                <w:highlight w:val="none"/>
              </w:rPr>
            </w:pPr>
          </w:p>
        </w:tc>
        <w:tc>
          <w:tcPr>
            <w:tcW w:w="1174" w:type="pct"/>
            <w:noWrap w:val="0"/>
            <w:vAlign w:val="center"/>
          </w:tcPr>
          <w:p w14:paraId="70A0AC2C">
            <w:pPr>
              <w:adjustRightInd w:val="0"/>
              <w:snapToGrid w:val="0"/>
              <w:jc w:val="left"/>
              <w:rPr>
                <w:rFonts w:hAnsi="宋体" w:cs="宋体"/>
                <w:color w:val="auto"/>
                <w:szCs w:val="21"/>
                <w:highlight w:val="none"/>
              </w:rPr>
            </w:pPr>
          </w:p>
        </w:tc>
        <w:tc>
          <w:tcPr>
            <w:tcW w:w="484" w:type="pct"/>
            <w:noWrap w:val="0"/>
            <w:vAlign w:val="center"/>
          </w:tcPr>
          <w:p w14:paraId="58EA57A9">
            <w:pPr>
              <w:adjustRightInd w:val="0"/>
              <w:snapToGrid w:val="0"/>
              <w:jc w:val="center"/>
              <w:rPr>
                <w:rFonts w:hAnsi="宋体" w:cs="宋体"/>
                <w:color w:val="auto"/>
                <w:szCs w:val="21"/>
                <w:highlight w:val="none"/>
              </w:rPr>
            </w:pPr>
          </w:p>
        </w:tc>
        <w:tc>
          <w:tcPr>
            <w:tcW w:w="487" w:type="pct"/>
            <w:noWrap w:val="0"/>
            <w:vAlign w:val="center"/>
          </w:tcPr>
          <w:p w14:paraId="72ED391A">
            <w:pPr>
              <w:adjustRightInd w:val="0"/>
              <w:snapToGrid w:val="0"/>
              <w:jc w:val="center"/>
              <w:rPr>
                <w:rFonts w:hAnsi="宋体" w:cs="宋体"/>
                <w:color w:val="auto"/>
                <w:sz w:val="18"/>
                <w:szCs w:val="18"/>
                <w:highlight w:val="none"/>
              </w:rPr>
            </w:pPr>
          </w:p>
        </w:tc>
        <w:tc>
          <w:tcPr>
            <w:tcW w:w="486" w:type="pct"/>
            <w:noWrap w:val="0"/>
            <w:vAlign w:val="center"/>
          </w:tcPr>
          <w:p w14:paraId="0612AE8E">
            <w:pPr>
              <w:adjustRightInd w:val="0"/>
              <w:snapToGrid w:val="0"/>
              <w:jc w:val="center"/>
              <w:rPr>
                <w:rFonts w:hAnsi="宋体" w:cs="宋体"/>
                <w:color w:val="auto"/>
                <w:sz w:val="18"/>
                <w:szCs w:val="18"/>
                <w:highlight w:val="none"/>
              </w:rPr>
            </w:pPr>
          </w:p>
        </w:tc>
        <w:tc>
          <w:tcPr>
            <w:tcW w:w="486" w:type="pct"/>
            <w:noWrap w:val="0"/>
            <w:vAlign w:val="center"/>
          </w:tcPr>
          <w:p w14:paraId="79B0C7B5">
            <w:pPr>
              <w:adjustRightInd w:val="0"/>
              <w:snapToGrid w:val="0"/>
              <w:jc w:val="center"/>
              <w:rPr>
                <w:rFonts w:hAnsi="宋体" w:cs="宋体"/>
                <w:color w:val="auto"/>
                <w:sz w:val="18"/>
                <w:szCs w:val="18"/>
                <w:highlight w:val="none"/>
              </w:rPr>
            </w:pPr>
          </w:p>
        </w:tc>
        <w:tc>
          <w:tcPr>
            <w:tcW w:w="491" w:type="pct"/>
            <w:noWrap w:val="0"/>
            <w:vAlign w:val="center"/>
          </w:tcPr>
          <w:p w14:paraId="5EBE37BF">
            <w:pPr>
              <w:adjustRightInd w:val="0"/>
              <w:snapToGrid w:val="0"/>
              <w:jc w:val="center"/>
              <w:rPr>
                <w:rFonts w:hAnsi="宋体" w:cs="宋体"/>
                <w:color w:val="auto"/>
                <w:sz w:val="18"/>
                <w:szCs w:val="18"/>
                <w:highlight w:val="none"/>
              </w:rPr>
            </w:pPr>
          </w:p>
        </w:tc>
      </w:tr>
      <w:tr w14:paraId="4D852C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21" w:type="pct"/>
            <w:noWrap w:val="0"/>
            <w:vAlign w:val="center"/>
          </w:tcPr>
          <w:p w14:paraId="64B9D993">
            <w:pPr>
              <w:adjustRightInd w:val="0"/>
              <w:snapToGrid w:val="0"/>
              <w:jc w:val="center"/>
              <w:rPr>
                <w:rFonts w:hAnsi="宋体" w:cs="宋体"/>
                <w:color w:val="auto"/>
                <w:szCs w:val="21"/>
                <w:highlight w:val="none"/>
              </w:rPr>
            </w:pPr>
          </w:p>
        </w:tc>
        <w:tc>
          <w:tcPr>
            <w:tcW w:w="868" w:type="pct"/>
            <w:noWrap w:val="0"/>
            <w:vAlign w:val="center"/>
          </w:tcPr>
          <w:p w14:paraId="30E54042">
            <w:pPr>
              <w:adjustRightInd w:val="0"/>
              <w:snapToGrid w:val="0"/>
              <w:jc w:val="center"/>
              <w:rPr>
                <w:rFonts w:hAnsi="宋体" w:cs="宋体"/>
                <w:color w:val="auto"/>
                <w:szCs w:val="21"/>
                <w:highlight w:val="none"/>
              </w:rPr>
            </w:pPr>
          </w:p>
        </w:tc>
        <w:tc>
          <w:tcPr>
            <w:tcW w:w="1174" w:type="pct"/>
            <w:noWrap w:val="0"/>
            <w:vAlign w:val="center"/>
          </w:tcPr>
          <w:p w14:paraId="20BB5DCA">
            <w:pPr>
              <w:adjustRightInd w:val="0"/>
              <w:snapToGrid w:val="0"/>
              <w:jc w:val="left"/>
              <w:rPr>
                <w:rFonts w:hAnsi="宋体" w:cs="宋体"/>
                <w:color w:val="auto"/>
                <w:szCs w:val="21"/>
                <w:highlight w:val="none"/>
              </w:rPr>
            </w:pPr>
          </w:p>
        </w:tc>
        <w:tc>
          <w:tcPr>
            <w:tcW w:w="484" w:type="pct"/>
            <w:noWrap w:val="0"/>
            <w:vAlign w:val="center"/>
          </w:tcPr>
          <w:p w14:paraId="5C46D662">
            <w:pPr>
              <w:adjustRightInd w:val="0"/>
              <w:snapToGrid w:val="0"/>
              <w:jc w:val="center"/>
              <w:rPr>
                <w:rFonts w:hAnsi="宋体" w:cs="宋体"/>
                <w:color w:val="auto"/>
                <w:szCs w:val="21"/>
                <w:highlight w:val="none"/>
              </w:rPr>
            </w:pPr>
          </w:p>
        </w:tc>
        <w:tc>
          <w:tcPr>
            <w:tcW w:w="487" w:type="pct"/>
            <w:noWrap w:val="0"/>
            <w:vAlign w:val="center"/>
          </w:tcPr>
          <w:p w14:paraId="75DF022B">
            <w:pPr>
              <w:adjustRightInd w:val="0"/>
              <w:snapToGrid w:val="0"/>
              <w:jc w:val="center"/>
              <w:rPr>
                <w:rFonts w:hAnsi="宋体" w:cs="宋体"/>
                <w:color w:val="auto"/>
                <w:sz w:val="18"/>
                <w:szCs w:val="18"/>
                <w:highlight w:val="none"/>
              </w:rPr>
            </w:pPr>
          </w:p>
        </w:tc>
        <w:tc>
          <w:tcPr>
            <w:tcW w:w="486" w:type="pct"/>
            <w:noWrap w:val="0"/>
            <w:vAlign w:val="center"/>
          </w:tcPr>
          <w:p w14:paraId="5F8A107C">
            <w:pPr>
              <w:adjustRightInd w:val="0"/>
              <w:snapToGrid w:val="0"/>
              <w:jc w:val="center"/>
              <w:rPr>
                <w:rFonts w:hAnsi="宋体" w:cs="宋体"/>
                <w:color w:val="auto"/>
                <w:sz w:val="18"/>
                <w:szCs w:val="18"/>
                <w:highlight w:val="none"/>
              </w:rPr>
            </w:pPr>
          </w:p>
        </w:tc>
        <w:tc>
          <w:tcPr>
            <w:tcW w:w="486" w:type="pct"/>
            <w:noWrap w:val="0"/>
            <w:vAlign w:val="center"/>
          </w:tcPr>
          <w:p w14:paraId="2FBD86B9">
            <w:pPr>
              <w:adjustRightInd w:val="0"/>
              <w:snapToGrid w:val="0"/>
              <w:jc w:val="center"/>
              <w:rPr>
                <w:rFonts w:hAnsi="宋体" w:cs="宋体"/>
                <w:color w:val="auto"/>
                <w:sz w:val="18"/>
                <w:szCs w:val="18"/>
                <w:highlight w:val="none"/>
              </w:rPr>
            </w:pPr>
          </w:p>
        </w:tc>
        <w:tc>
          <w:tcPr>
            <w:tcW w:w="491" w:type="pct"/>
            <w:noWrap w:val="0"/>
            <w:vAlign w:val="center"/>
          </w:tcPr>
          <w:p w14:paraId="0F906F94">
            <w:pPr>
              <w:adjustRightInd w:val="0"/>
              <w:snapToGrid w:val="0"/>
              <w:jc w:val="center"/>
              <w:rPr>
                <w:rFonts w:hAnsi="宋体" w:cs="宋体"/>
                <w:color w:val="auto"/>
                <w:sz w:val="18"/>
                <w:szCs w:val="18"/>
                <w:highlight w:val="none"/>
              </w:rPr>
            </w:pPr>
          </w:p>
        </w:tc>
      </w:tr>
      <w:tr w14:paraId="5EE239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21" w:type="pct"/>
            <w:noWrap w:val="0"/>
            <w:vAlign w:val="center"/>
          </w:tcPr>
          <w:p w14:paraId="3DFE2182">
            <w:pPr>
              <w:adjustRightInd w:val="0"/>
              <w:snapToGrid w:val="0"/>
              <w:jc w:val="center"/>
              <w:rPr>
                <w:rFonts w:hAnsi="宋体" w:cs="宋体"/>
                <w:color w:val="auto"/>
                <w:szCs w:val="21"/>
                <w:highlight w:val="none"/>
              </w:rPr>
            </w:pPr>
          </w:p>
        </w:tc>
        <w:tc>
          <w:tcPr>
            <w:tcW w:w="868" w:type="pct"/>
            <w:noWrap w:val="0"/>
            <w:vAlign w:val="center"/>
          </w:tcPr>
          <w:p w14:paraId="0481C9F9">
            <w:pPr>
              <w:adjustRightInd w:val="0"/>
              <w:snapToGrid w:val="0"/>
              <w:jc w:val="center"/>
              <w:rPr>
                <w:rFonts w:hAnsi="宋体" w:cs="宋体"/>
                <w:color w:val="auto"/>
                <w:szCs w:val="21"/>
                <w:highlight w:val="none"/>
              </w:rPr>
            </w:pPr>
          </w:p>
        </w:tc>
        <w:tc>
          <w:tcPr>
            <w:tcW w:w="1174" w:type="pct"/>
            <w:noWrap w:val="0"/>
            <w:vAlign w:val="center"/>
          </w:tcPr>
          <w:p w14:paraId="04C44CE3">
            <w:pPr>
              <w:adjustRightInd w:val="0"/>
              <w:snapToGrid w:val="0"/>
              <w:jc w:val="left"/>
              <w:rPr>
                <w:rFonts w:hAnsi="宋体" w:cs="宋体"/>
                <w:color w:val="auto"/>
                <w:szCs w:val="21"/>
                <w:highlight w:val="none"/>
              </w:rPr>
            </w:pPr>
          </w:p>
        </w:tc>
        <w:tc>
          <w:tcPr>
            <w:tcW w:w="484" w:type="pct"/>
            <w:noWrap w:val="0"/>
            <w:vAlign w:val="center"/>
          </w:tcPr>
          <w:p w14:paraId="4EEBAEAC">
            <w:pPr>
              <w:adjustRightInd w:val="0"/>
              <w:snapToGrid w:val="0"/>
              <w:jc w:val="center"/>
              <w:rPr>
                <w:rFonts w:hAnsi="宋体" w:cs="宋体"/>
                <w:color w:val="auto"/>
                <w:szCs w:val="21"/>
                <w:highlight w:val="none"/>
              </w:rPr>
            </w:pPr>
          </w:p>
        </w:tc>
        <w:tc>
          <w:tcPr>
            <w:tcW w:w="487" w:type="pct"/>
            <w:noWrap w:val="0"/>
            <w:vAlign w:val="center"/>
          </w:tcPr>
          <w:p w14:paraId="32F51AEE">
            <w:pPr>
              <w:adjustRightInd w:val="0"/>
              <w:snapToGrid w:val="0"/>
              <w:jc w:val="center"/>
              <w:rPr>
                <w:rFonts w:hAnsi="宋体" w:cs="宋体"/>
                <w:color w:val="auto"/>
                <w:sz w:val="18"/>
                <w:szCs w:val="18"/>
                <w:highlight w:val="none"/>
              </w:rPr>
            </w:pPr>
          </w:p>
        </w:tc>
        <w:tc>
          <w:tcPr>
            <w:tcW w:w="486" w:type="pct"/>
            <w:noWrap w:val="0"/>
            <w:vAlign w:val="center"/>
          </w:tcPr>
          <w:p w14:paraId="22D4D6C5">
            <w:pPr>
              <w:adjustRightInd w:val="0"/>
              <w:snapToGrid w:val="0"/>
              <w:jc w:val="center"/>
              <w:rPr>
                <w:rFonts w:hAnsi="宋体" w:cs="宋体"/>
                <w:color w:val="auto"/>
                <w:sz w:val="18"/>
                <w:szCs w:val="18"/>
                <w:highlight w:val="none"/>
              </w:rPr>
            </w:pPr>
          </w:p>
        </w:tc>
        <w:tc>
          <w:tcPr>
            <w:tcW w:w="486" w:type="pct"/>
            <w:noWrap w:val="0"/>
            <w:vAlign w:val="center"/>
          </w:tcPr>
          <w:p w14:paraId="7528CC75">
            <w:pPr>
              <w:adjustRightInd w:val="0"/>
              <w:snapToGrid w:val="0"/>
              <w:jc w:val="center"/>
              <w:rPr>
                <w:rFonts w:hAnsi="宋体" w:cs="宋体"/>
                <w:color w:val="auto"/>
                <w:sz w:val="18"/>
                <w:szCs w:val="18"/>
                <w:highlight w:val="none"/>
              </w:rPr>
            </w:pPr>
          </w:p>
        </w:tc>
        <w:tc>
          <w:tcPr>
            <w:tcW w:w="491" w:type="pct"/>
            <w:noWrap w:val="0"/>
            <w:vAlign w:val="center"/>
          </w:tcPr>
          <w:p w14:paraId="542603D5">
            <w:pPr>
              <w:adjustRightInd w:val="0"/>
              <w:snapToGrid w:val="0"/>
              <w:jc w:val="center"/>
              <w:rPr>
                <w:rFonts w:hAnsi="宋体" w:cs="宋体"/>
                <w:color w:val="auto"/>
                <w:sz w:val="18"/>
                <w:szCs w:val="18"/>
                <w:highlight w:val="none"/>
              </w:rPr>
            </w:pPr>
          </w:p>
        </w:tc>
      </w:tr>
      <w:tr w14:paraId="19EEB8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21" w:type="pct"/>
            <w:noWrap w:val="0"/>
            <w:vAlign w:val="center"/>
          </w:tcPr>
          <w:p w14:paraId="1D681DD7">
            <w:pPr>
              <w:adjustRightInd w:val="0"/>
              <w:snapToGrid w:val="0"/>
              <w:jc w:val="center"/>
              <w:rPr>
                <w:rFonts w:hAnsi="宋体" w:cs="宋体"/>
                <w:color w:val="auto"/>
                <w:szCs w:val="21"/>
                <w:highlight w:val="none"/>
              </w:rPr>
            </w:pPr>
          </w:p>
        </w:tc>
        <w:tc>
          <w:tcPr>
            <w:tcW w:w="868" w:type="pct"/>
            <w:noWrap w:val="0"/>
            <w:vAlign w:val="center"/>
          </w:tcPr>
          <w:p w14:paraId="37D7DA33">
            <w:pPr>
              <w:adjustRightInd w:val="0"/>
              <w:snapToGrid w:val="0"/>
              <w:jc w:val="center"/>
              <w:rPr>
                <w:rFonts w:hAnsi="宋体" w:cs="宋体"/>
                <w:color w:val="auto"/>
                <w:szCs w:val="21"/>
                <w:highlight w:val="none"/>
              </w:rPr>
            </w:pPr>
          </w:p>
        </w:tc>
        <w:tc>
          <w:tcPr>
            <w:tcW w:w="1174" w:type="pct"/>
            <w:noWrap w:val="0"/>
            <w:vAlign w:val="center"/>
          </w:tcPr>
          <w:p w14:paraId="74C00EE1">
            <w:pPr>
              <w:adjustRightInd w:val="0"/>
              <w:snapToGrid w:val="0"/>
              <w:jc w:val="left"/>
              <w:rPr>
                <w:rFonts w:hAnsi="宋体" w:cs="宋体"/>
                <w:color w:val="auto"/>
                <w:szCs w:val="21"/>
                <w:highlight w:val="none"/>
              </w:rPr>
            </w:pPr>
          </w:p>
        </w:tc>
        <w:tc>
          <w:tcPr>
            <w:tcW w:w="484" w:type="pct"/>
            <w:noWrap w:val="0"/>
            <w:vAlign w:val="center"/>
          </w:tcPr>
          <w:p w14:paraId="7A95E658">
            <w:pPr>
              <w:adjustRightInd w:val="0"/>
              <w:snapToGrid w:val="0"/>
              <w:jc w:val="center"/>
              <w:rPr>
                <w:rFonts w:hAnsi="宋体" w:cs="宋体"/>
                <w:color w:val="auto"/>
                <w:szCs w:val="21"/>
                <w:highlight w:val="none"/>
              </w:rPr>
            </w:pPr>
          </w:p>
        </w:tc>
        <w:tc>
          <w:tcPr>
            <w:tcW w:w="487" w:type="pct"/>
            <w:noWrap w:val="0"/>
            <w:vAlign w:val="center"/>
          </w:tcPr>
          <w:p w14:paraId="7D653F5B">
            <w:pPr>
              <w:adjustRightInd w:val="0"/>
              <w:snapToGrid w:val="0"/>
              <w:jc w:val="center"/>
              <w:rPr>
                <w:rFonts w:hAnsi="宋体" w:cs="宋体"/>
                <w:color w:val="auto"/>
                <w:sz w:val="18"/>
                <w:szCs w:val="18"/>
                <w:highlight w:val="none"/>
              </w:rPr>
            </w:pPr>
          </w:p>
        </w:tc>
        <w:tc>
          <w:tcPr>
            <w:tcW w:w="486" w:type="pct"/>
            <w:noWrap w:val="0"/>
            <w:vAlign w:val="center"/>
          </w:tcPr>
          <w:p w14:paraId="397915C5">
            <w:pPr>
              <w:adjustRightInd w:val="0"/>
              <w:snapToGrid w:val="0"/>
              <w:jc w:val="center"/>
              <w:rPr>
                <w:rFonts w:hAnsi="宋体" w:cs="宋体"/>
                <w:color w:val="auto"/>
                <w:sz w:val="18"/>
                <w:szCs w:val="18"/>
                <w:highlight w:val="none"/>
              </w:rPr>
            </w:pPr>
          </w:p>
        </w:tc>
        <w:tc>
          <w:tcPr>
            <w:tcW w:w="486" w:type="pct"/>
            <w:noWrap w:val="0"/>
            <w:vAlign w:val="center"/>
          </w:tcPr>
          <w:p w14:paraId="34BC50E3">
            <w:pPr>
              <w:adjustRightInd w:val="0"/>
              <w:snapToGrid w:val="0"/>
              <w:jc w:val="center"/>
              <w:rPr>
                <w:rFonts w:hAnsi="宋体" w:cs="宋体"/>
                <w:color w:val="auto"/>
                <w:sz w:val="18"/>
                <w:szCs w:val="18"/>
                <w:highlight w:val="none"/>
              </w:rPr>
            </w:pPr>
          </w:p>
        </w:tc>
        <w:tc>
          <w:tcPr>
            <w:tcW w:w="491" w:type="pct"/>
            <w:noWrap w:val="0"/>
            <w:vAlign w:val="center"/>
          </w:tcPr>
          <w:p w14:paraId="7E155B4A">
            <w:pPr>
              <w:adjustRightInd w:val="0"/>
              <w:snapToGrid w:val="0"/>
              <w:jc w:val="center"/>
              <w:rPr>
                <w:rFonts w:hAnsi="宋体" w:cs="宋体"/>
                <w:color w:val="auto"/>
                <w:sz w:val="18"/>
                <w:szCs w:val="18"/>
                <w:highlight w:val="none"/>
              </w:rPr>
            </w:pPr>
          </w:p>
        </w:tc>
      </w:tr>
      <w:tr w14:paraId="301CD3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21" w:type="pct"/>
            <w:noWrap w:val="0"/>
            <w:vAlign w:val="center"/>
          </w:tcPr>
          <w:p w14:paraId="35415938">
            <w:pPr>
              <w:adjustRightInd w:val="0"/>
              <w:snapToGrid w:val="0"/>
              <w:jc w:val="center"/>
              <w:rPr>
                <w:rFonts w:hAnsi="宋体" w:cs="宋体"/>
                <w:color w:val="auto"/>
                <w:szCs w:val="21"/>
                <w:highlight w:val="none"/>
              </w:rPr>
            </w:pPr>
          </w:p>
        </w:tc>
        <w:tc>
          <w:tcPr>
            <w:tcW w:w="868" w:type="pct"/>
            <w:noWrap w:val="0"/>
            <w:vAlign w:val="center"/>
          </w:tcPr>
          <w:p w14:paraId="54D485FE">
            <w:pPr>
              <w:adjustRightInd w:val="0"/>
              <w:snapToGrid w:val="0"/>
              <w:jc w:val="center"/>
              <w:rPr>
                <w:rFonts w:hAnsi="宋体" w:cs="宋体"/>
                <w:color w:val="auto"/>
                <w:szCs w:val="21"/>
                <w:highlight w:val="none"/>
              </w:rPr>
            </w:pPr>
          </w:p>
        </w:tc>
        <w:tc>
          <w:tcPr>
            <w:tcW w:w="1174" w:type="pct"/>
            <w:noWrap w:val="0"/>
            <w:vAlign w:val="center"/>
          </w:tcPr>
          <w:p w14:paraId="29D77721">
            <w:pPr>
              <w:adjustRightInd w:val="0"/>
              <w:snapToGrid w:val="0"/>
              <w:jc w:val="left"/>
              <w:rPr>
                <w:rFonts w:hAnsi="宋体" w:cs="宋体"/>
                <w:color w:val="auto"/>
                <w:szCs w:val="21"/>
                <w:highlight w:val="none"/>
              </w:rPr>
            </w:pPr>
          </w:p>
        </w:tc>
        <w:tc>
          <w:tcPr>
            <w:tcW w:w="484" w:type="pct"/>
            <w:noWrap w:val="0"/>
            <w:vAlign w:val="center"/>
          </w:tcPr>
          <w:p w14:paraId="7B14445D">
            <w:pPr>
              <w:adjustRightInd w:val="0"/>
              <w:snapToGrid w:val="0"/>
              <w:jc w:val="center"/>
              <w:rPr>
                <w:rFonts w:hAnsi="宋体" w:cs="宋体"/>
                <w:color w:val="auto"/>
                <w:szCs w:val="21"/>
                <w:highlight w:val="none"/>
              </w:rPr>
            </w:pPr>
          </w:p>
        </w:tc>
        <w:tc>
          <w:tcPr>
            <w:tcW w:w="487" w:type="pct"/>
            <w:noWrap w:val="0"/>
            <w:vAlign w:val="center"/>
          </w:tcPr>
          <w:p w14:paraId="28075CBE">
            <w:pPr>
              <w:adjustRightInd w:val="0"/>
              <w:snapToGrid w:val="0"/>
              <w:jc w:val="center"/>
              <w:rPr>
                <w:rFonts w:hAnsi="宋体" w:cs="宋体"/>
                <w:color w:val="auto"/>
                <w:sz w:val="18"/>
                <w:szCs w:val="18"/>
                <w:highlight w:val="none"/>
              </w:rPr>
            </w:pPr>
          </w:p>
        </w:tc>
        <w:tc>
          <w:tcPr>
            <w:tcW w:w="486" w:type="pct"/>
            <w:noWrap w:val="0"/>
            <w:vAlign w:val="center"/>
          </w:tcPr>
          <w:p w14:paraId="595BF6F6">
            <w:pPr>
              <w:adjustRightInd w:val="0"/>
              <w:snapToGrid w:val="0"/>
              <w:jc w:val="center"/>
              <w:rPr>
                <w:rFonts w:hAnsi="宋体" w:cs="宋体"/>
                <w:color w:val="auto"/>
                <w:sz w:val="18"/>
                <w:szCs w:val="18"/>
                <w:highlight w:val="none"/>
              </w:rPr>
            </w:pPr>
          </w:p>
        </w:tc>
        <w:tc>
          <w:tcPr>
            <w:tcW w:w="486" w:type="pct"/>
            <w:noWrap w:val="0"/>
            <w:vAlign w:val="center"/>
          </w:tcPr>
          <w:p w14:paraId="4A4769B7">
            <w:pPr>
              <w:adjustRightInd w:val="0"/>
              <w:snapToGrid w:val="0"/>
              <w:jc w:val="center"/>
              <w:rPr>
                <w:rFonts w:hAnsi="宋体" w:cs="宋体"/>
                <w:color w:val="auto"/>
                <w:sz w:val="18"/>
                <w:szCs w:val="18"/>
                <w:highlight w:val="none"/>
              </w:rPr>
            </w:pPr>
          </w:p>
        </w:tc>
        <w:tc>
          <w:tcPr>
            <w:tcW w:w="491" w:type="pct"/>
            <w:noWrap w:val="0"/>
            <w:vAlign w:val="center"/>
          </w:tcPr>
          <w:p w14:paraId="10EA4632">
            <w:pPr>
              <w:adjustRightInd w:val="0"/>
              <w:snapToGrid w:val="0"/>
              <w:jc w:val="center"/>
              <w:rPr>
                <w:rFonts w:hAnsi="宋体" w:cs="宋体"/>
                <w:color w:val="auto"/>
                <w:sz w:val="18"/>
                <w:szCs w:val="18"/>
                <w:highlight w:val="none"/>
              </w:rPr>
            </w:pPr>
          </w:p>
        </w:tc>
      </w:tr>
      <w:tr w14:paraId="0F882A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21" w:type="pct"/>
            <w:noWrap w:val="0"/>
            <w:vAlign w:val="center"/>
          </w:tcPr>
          <w:p w14:paraId="0654B888">
            <w:pPr>
              <w:adjustRightInd w:val="0"/>
              <w:snapToGrid w:val="0"/>
              <w:jc w:val="center"/>
              <w:rPr>
                <w:rFonts w:hAnsi="宋体" w:cs="宋体"/>
                <w:color w:val="auto"/>
                <w:szCs w:val="21"/>
                <w:highlight w:val="none"/>
              </w:rPr>
            </w:pPr>
          </w:p>
        </w:tc>
        <w:tc>
          <w:tcPr>
            <w:tcW w:w="868" w:type="pct"/>
            <w:noWrap w:val="0"/>
            <w:vAlign w:val="center"/>
          </w:tcPr>
          <w:p w14:paraId="1357709A">
            <w:pPr>
              <w:adjustRightInd w:val="0"/>
              <w:snapToGrid w:val="0"/>
              <w:jc w:val="center"/>
              <w:rPr>
                <w:rFonts w:hAnsi="宋体" w:cs="宋体"/>
                <w:color w:val="auto"/>
                <w:szCs w:val="21"/>
                <w:highlight w:val="none"/>
              </w:rPr>
            </w:pPr>
          </w:p>
        </w:tc>
        <w:tc>
          <w:tcPr>
            <w:tcW w:w="1174" w:type="pct"/>
            <w:noWrap w:val="0"/>
            <w:vAlign w:val="center"/>
          </w:tcPr>
          <w:p w14:paraId="74E0F73B">
            <w:pPr>
              <w:adjustRightInd w:val="0"/>
              <w:snapToGrid w:val="0"/>
              <w:jc w:val="left"/>
              <w:rPr>
                <w:rFonts w:hAnsi="宋体" w:cs="宋体"/>
                <w:color w:val="auto"/>
                <w:szCs w:val="21"/>
                <w:highlight w:val="none"/>
              </w:rPr>
            </w:pPr>
          </w:p>
        </w:tc>
        <w:tc>
          <w:tcPr>
            <w:tcW w:w="484" w:type="pct"/>
            <w:noWrap w:val="0"/>
            <w:vAlign w:val="center"/>
          </w:tcPr>
          <w:p w14:paraId="6092BD97">
            <w:pPr>
              <w:adjustRightInd w:val="0"/>
              <w:snapToGrid w:val="0"/>
              <w:jc w:val="center"/>
              <w:rPr>
                <w:rFonts w:hAnsi="宋体" w:cs="宋体"/>
                <w:color w:val="auto"/>
                <w:szCs w:val="21"/>
                <w:highlight w:val="none"/>
              </w:rPr>
            </w:pPr>
          </w:p>
        </w:tc>
        <w:tc>
          <w:tcPr>
            <w:tcW w:w="487" w:type="pct"/>
            <w:noWrap w:val="0"/>
            <w:vAlign w:val="center"/>
          </w:tcPr>
          <w:p w14:paraId="16D133D6">
            <w:pPr>
              <w:adjustRightInd w:val="0"/>
              <w:snapToGrid w:val="0"/>
              <w:jc w:val="center"/>
              <w:rPr>
                <w:rFonts w:hAnsi="宋体" w:cs="宋体"/>
                <w:color w:val="auto"/>
                <w:sz w:val="18"/>
                <w:szCs w:val="18"/>
                <w:highlight w:val="none"/>
              </w:rPr>
            </w:pPr>
          </w:p>
        </w:tc>
        <w:tc>
          <w:tcPr>
            <w:tcW w:w="486" w:type="pct"/>
            <w:noWrap w:val="0"/>
            <w:vAlign w:val="center"/>
          </w:tcPr>
          <w:p w14:paraId="4F71336A">
            <w:pPr>
              <w:adjustRightInd w:val="0"/>
              <w:snapToGrid w:val="0"/>
              <w:jc w:val="center"/>
              <w:rPr>
                <w:rFonts w:hAnsi="宋体" w:cs="宋体"/>
                <w:color w:val="auto"/>
                <w:sz w:val="18"/>
                <w:szCs w:val="18"/>
                <w:highlight w:val="none"/>
              </w:rPr>
            </w:pPr>
          </w:p>
        </w:tc>
        <w:tc>
          <w:tcPr>
            <w:tcW w:w="486" w:type="pct"/>
            <w:noWrap w:val="0"/>
            <w:vAlign w:val="center"/>
          </w:tcPr>
          <w:p w14:paraId="723EA3CF">
            <w:pPr>
              <w:adjustRightInd w:val="0"/>
              <w:snapToGrid w:val="0"/>
              <w:jc w:val="center"/>
              <w:rPr>
                <w:rFonts w:hAnsi="宋体" w:cs="宋体"/>
                <w:color w:val="auto"/>
                <w:sz w:val="18"/>
                <w:szCs w:val="18"/>
                <w:highlight w:val="none"/>
              </w:rPr>
            </w:pPr>
          </w:p>
        </w:tc>
        <w:tc>
          <w:tcPr>
            <w:tcW w:w="491" w:type="pct"/>
            <w:noWrap w:val="0"/>
            <w:vAlign w:val="center"/>
          </w:tcPr>
          <w:p w14:paraId="0B017304">
            <w:pPr>
              <w:adjustRightInd w:val="0"/>
              <w:snapToGrid w:val="0"/>
              <w:jc w:val="center"/>
              <w:rPr>
                <w:rFonts w:hAnsi="宋体" w:cs="宋体"/>
                <w:color w:val="auto"/>
                <w:sz w:val="18"/>
                <w:szCs w:val="18"/>
                <w:highlight w:val="none"/>
              </w:rPr>
            </w:pPr>
          </w:p>
        </w:tc>
      </w:tr>
      <w:tr w14:paraId="1EE3F4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21" w:type="pct"/>
            <w:noWrap w:val="0"/>
            <w:vAlign w:val="center"/>
          </w:tcPr>
          <w:p w14:paraId="2B73BA14">
            <w:pPr>
              <w:adjustRightInd w:val="0"/>
              <w:snapToGrid w:val="0"/>
              <w:jc w:val="center"/>
              <w:rPr>
                <w:rFonts w:hAnsi="宋体" w:cs="宋体"/>
                <w:color w:val="auto"/>
                <w:szCs w:val="21"/>
                <w:highlight w:val="none"/>
              </w:rPr>
            </w:pPr>
          </w:p>
        </w:tc>
        <w:tc>
          <w:tcPr>
            <w:tcW w:w="868" w:type="pct"/>
            <w:noWrap w:val="0"/>
            <w:vAlign w:val="center"/>
          </w:tcPr>
          <w:p w14:paraId="5B9DD23F">
            <w:pPr>
              <w:adjustRightInd w:val="0"/>
              <w:snapToGrid w:val="0"/>
              <w:jc w:val="center"/>
              <w:rPr>
                <w:rFonts w:hAnsi="宋体" w:cs="宋体"/>
                <w:color w:val="auto"/>
                <w:szCs w:val="21"/>
                <w:highlight w:val="none"/>
              </w:rPr>
            </w:pPr>
          </w:p>
        </w:tc>
        <w:tc>
          <w:tcPr>
            <w:tcW w:w="1174" w:type="pct"/>
            <w:noWrap w:val="0"/>
            <w:vAlign w:val="center"/>
          </w:tcPr>
          <w:p w14:paraId="211E387C">
            <w:pPr>
              <w:adjustRightInd w:val="0"/>
              <w:snapToGrid w:val="0"/>
              <w:jc w:val="left"/>
              <w:rPr>
                <w:rFonts w:hAnsi="宋体" w:cs="宋体"/>
                <w:color w:val="auto"/>
                <w:szCs w:val="21"/>
                <w:highlight w:val="none"/>
              </w:rPr>
            </w:pPr>
          </w:p>
        </w:tc>
        <w:tc>
          <w:tcPr>
            <w:tcW w:w="484" w:type="pct"/>
            <w:noWrap w:val="0"/>
            <w:vAlign w:val="center"/>
          </w:tcPr>
          <w:p w14:paraId="6E87C601">
            <w:pPr>
              <w:adjustRightInd w:val="0"/>
              <w:snapToGrid w:val="0"/>
              <w:jc w:val="center"/>
              <w:rPr>
                <w:rFonts w:hAnsi="宋体" w:cs="宋体"/>
                <w:color w:val="auto"/>
                <w:szCs w:val="21"/>
                <w:highlight w:val="none"/>
              </w:rPr>
            </w:pPr>
          </w:p>
        </w:tc>
        <w:tc>
          <w:tcPr>
            <w:tcW w:w="487" w:type="pct"/>
            <w:noWrap w:val="0"/>
            <w:vAlign w:val="center"/>
          </w:tcPr>
          <w:p w14:paraId="20AB77AB">
            <w:pPr>
              <w:adjustRightInd w:val="0"/>
              <w:snapToGrid w:val="0"/>
              <w:jc w:val="center"/>
              <w:rPr>
                <w:rFonts w:hAnsi="宋体" w:cs="宋体"/>
                <w:color w:val="auto"/>
                <w:sz w:val="18"/>
                <w:szCs w:val="18"/>
                <w:highlight w:val="none"/>
              </w:rPr>
            </w:pPr>
          </w:p>
        </w:tc>
        <w:tc>
          <w:tcPr>
            <w:tcW w:w="486" w:type="pct"/>
            <w:noWrap w:val="0"/>
            <w:vAlign w:val="center"/>
          </w:tcPr>
          <w:p w14:paraId="0F2EB96C">
            <w:pPr>
              <w:adjustRightInd w:val="0"/>
              <w:snapToGrid w:val="0"/>
              <w:jc w:val="center"/>
              <w:rPr>
                <w:rFonts w:hAnsi="宋体" w:cs="宋体"/>
                <w:color w:val="auto"/>
                <w:sz w:val="18"/>
                <w:szCs w:val="18"/>
                <w:highlight w:val="none"/>
              </w:rPr>
            </w:pPr>
          </w:p>
        </w:tc>
        <w:tc>
          <w:tcPr>
            <w:tcW w:w="486" w:type="pct"/>
            <w:noWrap w:val="0"/>
            <w:vAlign w:val="center"/>
          </w:tcPr>
          <w:p w14:paraId="14A6F546">
            <w:pPr>
              <w:adjustRightInd w:val="0"/>
              <w:snapToGrid w:val="0"/>
              <w:jc w:val="center"/>
              <w:rPr>
                <w:rFonts w:hAnsi="宋体" w:cs="宋体"/>
                <w:color w:val="auto"/>
                <w:sz w:val="18"/>
                <w:szCs w:val="18"/>
                <w:highlight w:val="none"/>
              </w:rPr>
            </w:pPr>
          </w:p>
        </w:tc>
        <w:tc>
          <w:tcPr>
            <w:tcW w:w="491" w:type="pct"/>
            <w:noWrap w:val="0"/>
            <w:vAlign w:val="center"/>
          </w:tcPr>
          <w:p w14:paraId="5C7F9509">
            <w:pPr>
              <w:adjustRightInd w:val="0"/>
              <w:snapToGrid w:val="0"/>
              <w:jc w:val="center"/>
              <w:rPr>
                <w:rFonts w:hAnsi="宋体" w:cs="宋体"/>
                <w:color w:val="auto"/>
                <w:sz w:val="18"/>
                <w:szCs w:val="18"/>
                <w:highlight w:val="none"/>
              </w:rPr>
            </w:pPr>
          </w:p>
        </w:tc>
      </w:tr>
      <w:tr w14:paraId="75666A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21" w:type="pct"/>
            <w:noWrap w:val="0"/>
            <w:vAlign w:val="center"/>
          </w:tcPr>
          <w:p w14:paraId="7A9E4670">
            <w:pPr>
              <w:adjustRightInd w:val="0"/>
              <w:snapToGrid w:val="0"/>
              <w:jc w:val="center"/>
              <w:rPr>
                <w:rFonts w:hAnsi="宋体" w:cs="宋体"/>
                <w:color w:val="auto"/>
                <w:szCs w:val="21"/>
                <w:highlight w:val="none"/>
              </w:rPr>
            </w:pPr>
          </w:p>
        </w:tc>
        <w:tc>
          <w:tcPr>
            <w:tcW w:w="868" w:type="pct"/>
            <w:noWrap w:val="0"/>
            <w:vAlign w:val="center"/>
          </w:tcPr>
          <w:p w14:paraId="39E6CD8F">
            <w:pPr>
              <w:adjustRightInd w:val="0"/>
              <w:snapToGrid w:val="0"/>
              <w:jc w:val="center"/>
              <w:rPr>
                <w:rFonts w:hAnsi="宋体" w:cs="宋体"/>
                <w:color w:val="auto"/>
                <w:szCs w:val="21"/>
                <w:highlight w:val="none"/>
              </w:rPr>
            </w:pPr>
          </w:p>
        </w:tc>
        <w:tc>
          <w:tcPr>
            <w:tcW w:w="1174" w:type="pct"/>
            <w:noWrap w:val="0"/>
            <w:vAlign w:val="center"/>
          </w:tcPr>
          <w:p w14:paraId="0DAF2037">
            <w:pPr>
              <w:adjustRightInd w:val="0"/>
              <w:snapToGrid w:val="0"/>
              <w:jc w:val="left"/>
              <w:rPr>
                <w:rFonts w:hAnsi="宋体" w:cs="宋体"/>
                <w:color w:val="auto"/>
                <w:szCs w:val="21"/>
                <w:highlight w:val="none"/>
              </w:rPr>
            </w:pPr>
          </w:p>
        </w:tc>
        <w:tc>
          <w:tcPr>
            <w:tcW w:w="484" w:type="pct"/>
            <w:noWrap w:val="0"/>
            <w:vAlign w:val="center"/>
          </w:tcPr>
          <w:p w14:paraId="40146059">
            <w:pPr>
              <w:adjustRightInd w:val="0"/>
              <w:snapToGrid w:val="0"/>
              <w:jc w:val="center"/>
              <w:rPr>
                <w:rFonts w:hAnsi="宋体" w:cs="宋体"/>
                <w:color w:val="auto"/>
                <w:szCs w:val="21"/>
                <w:highlight w:val="none"/>
              </w:rPr>
            </w:pPr>
          </w:p>
        </w:tc>
        <w:tc>
          <w:tcPr>
            <w:tcW w:w="487" w:type="pct"/>
            <w:noWrap w:val="0"/>
            <w:vAlign w:val="center"/>
          </w:tcPr>
          <w:p w14:paraId="29A15F6A">
            <w:pPr>
              <w:adjustRightInd w:val="0"/>
              <w:snapToGrid w:val="0"/>
              <w:jc w:val="center"/>
              <w:rPr>
                <w:rFonts w:hAnsi="宋体" w:cs="宋体"/>
                <w:color w:val="auto"/>
                <w:sz w:val="18"/>
                <w:szCs w:val="18"/>
                <w:highlight w:val="none"/>
              </w:rPr>
            </w:pPr>
          </w:p>
        </w:tc>
        <w:tc>
          <w:tcPr>
            <w:tcW w:w="486" w:type="pct"/>
            <w:noWrap w:val="0"/>
            <w:vAlign w:val="center"/>
          </w:tcPr>
          <w:p w14:paraId="1526B2C1">
            <w:pPr>
              <w:adjustRightInd w:val="0"/>
              <w:snapToGrid w:val="0"/>
              <w:jc w:val="center"/>
              <w:rPr>
                <w:rFonts w:hAnsi="宋体" w:cs="宋体"/>
                <w:color w:val="auto"/>
                <w:sz w:val="18"/>
                <w:szCs w:val="18"/>
                <w:highlight w:val="none"/>
              </w:rPr>
            </w:pPr>
          </w:p>
        </w:tc>
        <w:tc>
          <w:tcPr>
            <w:tcW w:w="486" w:type="pct"/>
            <w:noWrap w:val="0"/>
            <w:vAlign w:val="center"/>
          </w:tcPr>
          <w:p w14:paraId="28504D26">
            <w:pPr>
              <w:adjustRightInd w:val="0"/>
              <w:snapToGrid w:val="0"/>
              <w:jc w:val="center"/>
              <w:rPr>
                <w:rFonts w:hAnsi="宋体" w:cs="宋体"/>
                <w:color w:val="auto"/>
                <w:sz w:val="18"/>
                <w:szCs w:val="18"/>
                <w:highlight w:val="none"/>
              </w:rPr>
            </w:pPr>
          </w:p>
        </w:tc>
        <w:tc>
          <w:tcPr>
            <w:tcW w:w="491" w:type="pct"/>
            <w:noWrap w:val="0"/>
            <w:vAlign w:val="center"/>
          </w:tcPr>
          <w:p w14:paraId="0DF7DD22">
            <w:pPr>
              <w:adjustRightInd w:val="0"/>
              <w:snapToGrid w:val="0"/>
              <w:jc w:val="center"/>
              <w:rPr>
                <w:rFonts w:hAnsi="宋体" w:cs="宋体"/>
                <w:color w:val="auto"/>
                <w:sz w:val="18"/>
                <w:szCs w:val="18"/>
                <w:highlight w:val="none"/>
              </w:rPr>
            </w:pPr>
          </w:p>
        </w:tc>
      </w:tr>
      <w:tr w14:paraId="7B0DEE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21" w:type="pct"/>
            <w:noWrap w:val="0"/>
            <w:vAlign w:val="center"/>
          </w:tcPr>
          <w:p w14:paraId="5DF9ED7C">
            <w:pPr>
              <w:adjustRightInd w:val="0"/>
              <w:snapToGrid w:val="0"/>
              <w:jc w:val="center"/>
              <w:rPr>
                <w:rFonts w:hAnsi="宋体" w:cs="宋体"/>
                <w:color w:val="auto"/>
                <w:szCs w:val="21"/>
                <w:highlight w:val="none"/>
              </w:rPr>
            </w:pPr>
          </w:p>
        </w:tc>
        <w:tc>
          <w:tcPr>
            <w:tcW w:w="868" w:type="pct"/>
            <w:noWrap w:val="0"/>
            <w:vAlign w:val="center"/>
          </w:tcPr>
          <w:p w14:paraId="06B095A0">
            <w:pPr>
              <w:adjustRightInd w:val="0"/>
              <w:snapToGrid w:val="0"/>
              <w:jc w:val="center"/>
              <w:rPr>
                <w:rFonts w:hAnsi="宋体" w:cs="宋体"/>
                <w:color w:val="auto"/>
                <w:szCs w:val="21"/>
                <w:highlight w:val="none"/>
              </w:rPr>
            </w:pPr>
          </w:p>
        </w:tc>
        <w:tc>
          <w:tcPr>
            <w:tcW w:w="1174" w:type="pct"/>
            <w:noWrap w:val="0"/>
            <w:vAlign w:val="center"/>
          </w:tcPr>
          <w:p w14:paraId="10907770">
            <w:pPr>
              <w:adjustRightInd w:val="0"/>
              <w:snapToGrid w:val="0"/>
              <w:jc w:val="left"/>
              <w:rPr>
                <w:rFonts w:hAnsi="宋体" w:cs="宋体"/>
                <w:color w:val="auto"/>
                <w:szCs w:val="21"/>
                <w:highlight w:val="none"/>
              </w:rPr>
            </w:pPr>
          </w:p>
        </w:tc>
        <w:tc>
          <w:tcPr>
            <w:tcW w:w="484" w:type="pct"/>
            <w:noWrap w:val="0"/>
            <w:vAlign w:val="center"/>
          </w:tcPr>
          <w:p w14:paraId="35407786">
            <w:pPr>
              <w:adjustRightInd w:val="0"/>
              <w:snapToGrid w:val="0"/>
              <w:jc w:val="center"/>
              <w:rPr>
                <w:rFonts w:hAnsi="宋体" w:cs="宋体"/>
                <w:color w:val="auto"/>
                <w:szCs w:val="21"/>
                <w:highlight w:val="none"/>
              </w:rPr>
            </w:pPr>
          </w:p>
        </w:tc>
        <w:tc>
          <w:tcPr>
            <w:tcW w:w="487" w:type="pct"/>
            <w:noWrap w:val="0"/>
            <w:vAlign w:val="center"/>
          </w:tcPr>
          <w:p w14:paraId="59FDFBF7">
            <w:pPr>
              <w:adjustRightInd w:val="0"/>
              <w:snapToGrid w:val="0"/>
              <w:jc w:val="center"/>
              <w:rPr>
                <w:rFonts w:hAnsi="宋体" w:cs="宋体"/>
                <w:color w:val="auto"/>
                <w:sz w:val="18"/>
                <w:szCs w:val="18"/>
                <w:highlight w:val="none"/>
              </w:rPr>
            </w:pPr>
          </w:p>
        </w:tc>
        <w:tc>
          <w:tcPr>
            <w:tcW w:w="486" w:type="pct"/>
            <w:noWrap w:val="0"/>
            <w:vAlign w:val="center"/>
          </w:tcPr>
          <w:p w14:paraId="726745A7">
            <w:pPr>
              <w:adjustRightInd w:val="0"/>
              <w:snapToGrid w:val="0"/>
              <w:jc w:val="center"/>
              <w:rPr>
                <w:rFonts w:hAnsi="宋体" w:cs="宋体"/>
                <w:color w:val="auto"/>
                <w:sz w:val="18"/>
                <w:szCs w:val="18"/>
                <w:highlight w:val="none"/>
              </w:rPr>
            </w:pPr>
          </w:p>
        </w:tc>
        <w:tc>
          <w:tcPr>
            <w:tcW w:w="486" w:type="pct"/>
            <w:noWrap w:val="0"/>
            <w:vAlign w:val="center"/>
          </w:tcPr>
          <w:p w14:paraId="2A3A4A17">
            <w:pPr>
              <w:adjustRightInd w:val="0"/>
              <w:snapToGrid w:val="0"/>
              <w:jc w:val="center"/>
              <w:rPr>
                <w:rFonts w:hAnsi="宋体" w:cs="宋体"/>
                <w:color w:val="auto"/>
                <w:sz w:val="18"/>
                <w:szCs w:val="18"/>
                <w:highlight w:val="none"/>
              </w:rPr>
            </w:pPr>
          </w:p>
        </w:tc>
        <w:tc>
          <w:tcPr>
            <w:tcW w:w="491" w:type="pct"/>
            <w:noWrap w:val="0"/>
            <w:vAlign w:val="center"/>
          </w:tcPr>
          <w:p w14:paraId="622EE7FA">
            <w:pPr>
              <w:adjustRightInd w:val="0"/>
              <w:snapToGrid w:val="0"/>
              <w:jc w:val="center"/>
              <w:rPr>
                <w:rFonts w:hAnsi="宋体" w:cs="宋体"/>
                <w:color w:val="auto"/>
                <w:sz w:val="18"/>
                <w:szCs w:val="18"/>
                <w:highlight w:val="none"/>
              </w:rPr>
            </w:pPr>
          </w:p>
        </w:tc>
      </w:tr>
      <w:tr w14:paraId="4EFB17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21" w:type="pct"/>
            <w:noWrap w:val="0"/>
            <w:vAlign w:val="center"/>
          </w:tcPr>
          <w:p w14:paraId="5EA39F0D">
            <w:pPr>
              <w:adjustRightInd w:val="0"/>
              <w:snapToGrid w:val="0"/>
              <w:jc w:val="center"/>
              <w:rPr>
                <w:rFonts w:hAnsi="宋体" w:cs="宋体"/>
                <w:color w:val="auto"/>
                <w:szCs w:val="21"/>
                <w:highlight w:val="none"/>
              </w:rPr>
            </w:pPr>
          </w:p>
        </w:tc>
        <w:tc>
          <w:tcPr>
            <w:tcW w:w="868" w:type="pct"/>
            <w:noWrap w:val="0"/>
            <w:vAlign w:val="center"/>
          </w:tcPr>
          <w:p w14:paraId="62E23314">
            <w:pPr>
              <w:adjustRightInd w:val="0"/>
              <w:snapToGrid w:val="0"/>
              <w:jc w:val="center"/>
              <w:rPr>
                <w:rFonts w:hAnsi="宋体" w:cs="宋体"/>
                <w:color w:val="auto"/>
                <w:szCs w:val="21"/>
                <w:highlight w:val="none"/>
              </w:rPr>
            </w:pPr>
          </w:p>
        </w:tc>
        <w:tc>
          <w:tcPr>
            <w:tcW w:w="1174" w:type="pct"/>
            <w:noWrap w:val="0"/>
            <w:vAlign w:val="center"/>
          </w:tcPr>
          <w:p w14:paraId="494ADCF3">
            <w:pPr>
              <w:adjustRightInd w:val="0"/>
              <w:snapToGrid w:val="0"/>
              <w:jc w:val="left"/>
              <w:rPr>
                <w:rFonts w:hAnsi="宋体" w:cs="宋体"/>
                <w:color w:val="auto"/>
                <w:szCs w:val="21"/>
                <w:highlight w:val="none"/>
              </w:rPr>
            </w:pPr>
          </w:p>
        </w:tc>
        <w:tc>
          <w:tcPr>
            <w:tcW w:w="484" w:type="pct"/>
            <w:noWrap w:val="0"/>
            <w:vAlign w:val="center"/>
          </w:tcPr>
          <w:p w14:paraId="161FCB11">
            <w:pPr>
              <w:adjustRightInd w:val="0"/>
              <w:snapToGrid w:val="0"/>
              <w:jc w:val="center"/>
              <w:rPr>
                <w:rFonts w:hAnsi="宋体" w:cs="宋体"/>
                <w:color w:val="auto"/>
                <w:szCs w:val="21"/>
                <w:highlight w:val="none"/>
              </w:rPr>
            </w:pPr>
          </w:p>
        </w:tc>
        <w:tc>
          <w:tcPr>
            <w:tcW w:w="487" w:type="pct"/>
            <w:noWrap w:val="0"/>
            <w:vAlign w:val="center"/>
          </w:tcPr>
          <w:p w14:paraId="538851D4">
            <w:pPr>
              <w:adjustRightInd w:val="0"/>
              <w:snapToGrid w:val="0"/>
              <w:jc w:val="center"/>
              <w:rPr>
                <w:rFonts w:hAnsi="宋体" w:cs="宋体"/>
                <w:color w:val="auto"/>
                <w:sz w:val="18"/>
                <w:szCs w:val="18"/>
                <w:highlight w:val="none"/>
              </w:rPr>
            </w:pPr>
          </w:p>
        </w:tc>
        <w:tc>
          <w:tcPr>
            <w:tcW w:w="486" w:type="pct"/>
            <w:noWrap w:val="0"/>
            <w:vAlign w:val="center"/>
          </w:tcPr>
          <w:p w14:paraId="58408624">
            <w:pPr>
              <w:adjustRightInd w:val="0"/>
              <w:snapToGrid w:val="0"/>
              <w:jc w:val="center"/>
              <w:rPr>
                <w:rFonts w:hAnsi="宋体" w:cs="宋体"/>
                <w:color w:val="auto"/>
                <w:sz w:val="18"/>
                <w:szCs w:val="18"/>
                <w:highlight w:val="none"/>
              </w:rPr>
            </w:pPr>
          </w:p>
        </w:tc>
        <w:tc>
          <w:tcPr>
            <w:tcW w:w="486" w:type="pct"/>
            <w:noWrap w:val="0"/>
            <w:vAlign w:val="center"/>
          </w:tcPr>
          <w:p w14:paraId="195B1C74">
            <w:pPr>
              <w:adjustRightInd w:val="0"/>
              <w:snapToGrid w:val="0"/>
              <w:jc w:val="center"/>
              <w:rPr>
                <w:rFonts w:hAnsi="宋体" w:cs="宋体"/>
                <w:color w:val="auto"/>
                <w:sz w:val="18"/>
                <w:szCs w:val="18"/>
                <w:highlight w:val="none"/>
              </w:rPr>
            </w:pPr>
          </w:p>
        </w:tc>
        <w:tc>
          <w:tcPr>
            <w:tcW w:w="491" w:type="pct"/>
            <w:noWrap w:val="0"/>
            <w:vAlign w:val="center"/>
          </w:tcPr>
          <w:p w14:paraId="6E6B7134">
            <w:pPr>
              <w:adjustRightInd w:val="0"/>
              <w:snapToGrid w:val="0"/>
              <w:jc w:val="center"/>
              <w:rPr>
                <w:rFonts w:hAnsi="宋体" w:cs="宋体"/>
                <w:color w:val="auto"/>
                <w:sz w:val="18"/>
                <w:szCs w:val="18"/>
                <w:highlight w:val="none"/>
              </w:rPr>
            </w:pPr>
          </w:p>
        </w:tc>
      </w:tr>
      <w:tr w14:paraId="67C244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21" w:type="pct"/>
            <w:noWrap w:val="0"/>
            <w:vAlign w:val="center"/>
          </w:tcPr>
          <w:p w14:paraId="45915D09">
            <w:pPr>
              <w:adjustRightInd w:val="0"/>
              <w:snapToGrid w:val="0"/>
              <w:jc w:val="center"/>
              <w:rPr>
                <w:rFonts w:hAnsi="宋体" w:cs="宋体"/>
                <w:color w:val="auto"/>
                <w:szCs w:val="21"/>
                <w:highlight w:val="none"/>
              </w:rPr>
            </w:pPr>
          </w:p>
        </w:tc>
        <w:tc>
          <w:tcPr>
            <w:tcW w:w="868" w:type="pct"/>
            <w:noWrap w:val="0"/>
            <w:vAlign w:val="center"/>
          </w:tcPr>
          <w:p w14:paraId="360AC374">
            <w:pPr>
              <w:adjustRightInd w:val="0"/>
              <w:snapToGrid w:val="0"/>
              <w:jc w:val="center"/>
              <w:rPr>
                <w:rFonts w:hAnsi="宋体" w:cs="宋体"/>
                <w:color w:val="auto"/>
                <w:szCs w:val="21"/>
                <w:highlight w:val="none"/>
              </w:rPr>
            </w:pPr>
          </w:p>
        </w:tc>
        <w:tc>
          <w:tcPr>
            <w:tcW w:w="1174" w:type="pct"/>
            <w:noWrap w:val="0"/>
            <w:vAlign w:val="center"/>
          </w:tcPr>
          <w:p w14:paraId="47F7BBE3">
            <w:pPr>
              <w:adjustRightInd w:val="0"/>
              <w:snapToGrid w:val="0"/>
              <w:jc w:val="left"/>
              <w:rPr>
                <w:rFonts w:hAnsi="宋体" w:cs="宋体"/>
                <w:color w:val="auto"/>
                <w:szCs w:val="21"/>
                <w:highlight w:val="none"/>
              </w:rPr>
            </w:pPr>
          </w:p>
        </w:tc>
        <w:tc>
          <w:tcPr>
            <w:tcW w:w="484" w:type="pct"/>
            <w:noWrap w:val="0"/>
            <w:vAlign w:val="center"/>
          </w:tcPr>
          <w:p w14:paraId="66931068">
            <w:pPr>
              <w:adjustRightInd w:val="0"/>
              <w:snapToGrid w:val="0"/>
              <w:jc w:val="center"/>
              <w:rPr>
                <w:rFonts w:hAnsi="宋体" w:cs="宋体"/>
                <w:color w:val="auto"/>
                <w:szCs w:val="21"/>
                <w:highlight w:val="none"/>
              </w:rPr>
            </w:pPr>
          </w:p>
        </w:tc>
        <w:tc>
          <w:tcPr>
            <w:tcW w:w="487" w:type="pct"/>
            <w:noWrap w:val="0"/>
            <w:vAlign w:val="center"/>
          </w:tcPr>
          <w:p w14:paraId="1CD10D8F">
            <w:pPr>
              <w:adjustRightInd w:val="0"/>
              <w:snapToGrid w:val="0"/>
              <w:jc w:val="center"/>
              <w:rPr>
                <w:rFonts w:hAnsi="宋体" w:cs="宋体"/>
                <w:color w:val="auto"/>
                <w:sz w:val="18"/>
                <w:szCs w:val="18"/>
                <w:highlight w:val="none"/>
              </w:rPr>
            </w:pPr>
          </w:p>
        </w:tc>
        <w:tc>
          <w:tcPr>
            <w:tcW w:w="486" w:type="pct"/>
            <w:noWrap w:val="0"/>
            <w:vAlign w:val="center"/>
          </w:tcPr>
          <w:p w14:paraId="3ECF0305">
            <w:pPr>
              <w:adjustRightInd w:val="0"/>
              <w:snapToGrid w:val="0"/>
              <w:jc w:val="center"/>
              <w:rPr>
                <w:rFonts w:hAnsi="宋体" w:cs="宋体"/>
                <w:color w:val="auto"/>
                <w:sz w:val="18"/>
                <w:szCs w:val="18"/>
                <w:highlight w:val="none"/>
              </w:rPr>
            </w:pPr>
          </w:p>
        </w:tc>
        <w:tc>
          <w:tcPr>
            <w:tcW w:w="486" w:type="pct"/>
            <w:noWrap w:val="0"/>
            <w:vAlign w:val="center"/>
          </w:tcPr>
          <w:p w14:paraId="0B88F762">
            <w:pPr>
              <w:adjustRightInd w:val="0"/>
              <w:snapToGrid w:val="0"/>
              <w:jc w:val="center"/>
              <w:rPr>
                <w:rFonts w:hAnsi="宋体" w:cs="宋体"/>
                <w:color w:val="auto"/>
                <w:sz w:val="18"/>
                <w:szCs w:val="18"/>
                <w:highlight w:val="none"/>
              </w:rPr>
            </w:pPr>
          </w:p>
        </w:tc>
        <w:tc>
          <w:tcPr>
            <w:tcW w:w="491" w:type="pct"/>
            <w:noWrap w:val="0"/>
            <w:vAlign w:val="center"/>
          </w:tcPr>
          <w:p w14:paraId="0C511906">
            <w:pPr>
              <w:adjustRightInd w:val="0"/>
              <w:snapToGrid w:val="0"/>
              <w:jc w:val="center"/>
              <w:rPr>
                <w:rFonts w:hAnsi="宋体" w:cs="宋体"/>
                <w:color w:val="auto"/>
                <w:sz w:val="18"/>
                <w:szCs w:val="18"/>
                <w:highlight w:val="none"/>
              </w:rPr>
            </w:pPr>
          </w:p>
        </w:tc>
      </w:tr>
      <w:tr w14:paraId="76F272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21" w:type="pct"/>
            <w:noWrap w:val="0"/>
            <w:vAlign w:val="center"/>
          </w:tcPr>
          <w:p w14:paraId="09845ABC">
            <w:pPr>
              <w:adjustRightInd w:val="0"/>
              <w:snapToGrid w:val="0"/>
              <w:jc w:val="center"/>
              <w:rPr>
                <w:rFonts w:hAnsi="宋体" w:cs="宋体"/>
                <w:color w:val="auto"/>
                <w:szCs w:val="21"/>
                <w:highlight w:val="none"/>
              </w:rPr>
            </w:pPr>
          </w:p>
        </w:tc>
        <w:tc>
          <w:tcPr>
            <w:tcW w:w="868" w:type="pct"/>
            <w:noWrap w:val="0"/>
            <w:vAlign w:val="center"/>
          </w:tcPr>
          <w:p w14:paraId="1BA13D0F">
            <w:pPr>
              <w:adjustRightInd w:val="0"/>
              <w:snapToGrid w:val="0"/>
              <w:jc w:val="center"/>
              <w:rPr>
                <w:rFonts w:hAnsi="宋体" w:cs="宋体"/>
                <w:color w:val="auto"/>
                <w:szCs w:val="21"/>
                <w:highlight w:val="none"/>
              </w:rPr>
            </w:pPr>
          </w:p>
        </w:tc>
        <w:tc>
          <w:tcPr>
            <w:tcW w:w="1174" w:type="pct"/>
            <w:noWrap w:val="0"/>
            <w:vAlign w:val="center"/>
          </w:tcPr>
          <w:p w14:paraId="1A329F7D">
            <w:pPr>
              <w:adjustRightInd w:val="0"/>
              <w:snapToGrid w:val="0"/>
              <w:jc w:val="left"/>
              <w:rPr>
                <w:rFonts w:hAnsi="宋体" w:cs="宋体"/>
                <w:color w:val="auto"/>
                <w:szCs w:val="21"/>
                <w:highlight w:val="none"/>
              </w:rPr>
            </w:pPr>
          </w:p>
        </w:tc>
        <w:tc>
          <w:tcPr>
            <w:tcW w:w="484" w:type="pct"/>
            <w:noWrap w:val="0"/>
            <w:vAlign w:val="center"/>
          </w:tcPr>
          <w:p w14:paraId="4755F374">
            <w:pPr>
              <w:adjustRightInd w:val="0"/>
              <w:snapToGrid w:val="0"/>
              <w:jc w:val="center"/>
              <w:rPr>
                <w:rFonts w:hAnsi="宋体" w:cs="宋体"/>
                <w:color w:val="auto"/>
                <w:szCs w:val="21"/>
                <w:highlight w:val="none"/>
              </w:rPr>
            </w:pPr>
          </w:p>
        </w:tc>
        <w:tc>
          <w:tcPr>
            <w:tcW w:w="487" w:type="pct"/>
            <w:noWrap w:val="0"/>
            <w:vAlign w:val="center"/>
          </w:tcPr>
          <w:p w14:paraId="35A05630">
            <w:pPr>
              <w:adjustRightInd w:val="0"/>
              <w:snapToGrid w:val="0"/>
              <w:jc w:val="center"/>
              <w:rPr>
                <w:rFonts w:hAnsi="宋体" w:cs="宋体"/>
                <w:color w:val="auto"/>
                <w:sz w:val="18"/>
                <w:szCs w:val="18"/>
                <w:highlight w:val="none"/>
              </w:rPr>
            </w:pPr>
          </w:p>
        </w:tc>
        <w:tc>
          <w:tcPr>
            <w:tcW w:w="486" w:type="pct"/>
            <w:noWrap w:val="0"/>
            <w:vAlign w:val="center"/>
          </w:tcPr>
          <w:p w14:paraId="66CF817A">
            <w:pPr>
              <w:adjustRightInd w:val="0"/>
              <w:snapToGrid w:val="0"/>
              <w:jc w:val="center"/>
              <w:rPr>
                <w:rFonts w:hAnsi="宋体" w:cs="宋体"/>
                <w:color w:val="auto"/>
                <w:sz w:val="18"/>
                <w:szCs w:val="18"/>
                <w:highlight w:val="none"/>
              </w:rPr>
            </w:pPr>
          </w:p>
        </w:tc>
        <w:tc>
          <w:tcPr>
            <w:tcW w:w="486" w:type="pct"/>
            <w:noWrap w:val="0"/>
            <w:vAlign w:val="center"/>
          </w:tcPr>
          <w:p w14:paraId="46E6967C">
            <w:pPr>
              <w:adjustRightInd w:val="0"/>
              <w:snapToGrid w:val="0"/>
              <w:jc w:val="center"/>
              <w:rPr>
                <w:rFonts w:hAnsi="宋体" w:cs="宋体"/>
                <w:color w:val="auto"/>
                <w:sz w:val="18"/>
                <w:szCs w:val="18"/>
                <w:highlight w:val="none"/>
              </w:rPr>
            </w:pPr>
          </w:p>
        </w:tc>
        <w:tc>
          <w:tcPr>
            <w:tcW w:w="491" w:type="pct"/>
            <w:noWrap w:val="0"/>
            <w:vAlign w:val="center"/>
          </w:tcPr>
          <w:p w14:paraId="1C8FCC5B">
            <w:pPr>
              <w:adjustRightInd w:val="0"/>
              <w:snapToGrid w:val="0"/>
              <w:jc w:val="center"/>
              <w:rPr>
                <w:rFonts w:hAnsi="宋体" w:cs="宋体"/>
                <w:color w:val="auto"/>
                <w:sz w:val="18"/>
                <w:szCs w:val="18"/>
                <w:highlight w:val="none"/>
              </w:rPr>
            </w:pPr>
          </w:p>
        </w:tc>
      </w:tr>
      <w:tr w14:paraId="6FD4C3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21" w:type="pct"/>
            <w:noWrap w:val="0"/>
            <w:vAlign w:val="center"/>
          </w:tcPr>
          <w:p w14:paraId="3A2AC3A5">
            <w:pPr>
              <w:adjustRightInd w:val="0"/>
              <w:snapToGrid w:val="0"/>
              <w:jc w:val="center"/>
              <w:rPr>
                <w:rFonts w:hAnsi="宋体" w:cs="宋体"/>
                <w:color w:val="auto"/>
                <w:szCs w:val="21"/>
                <w:highlight w:val="none"/>
              </w:rPr>
            </w:pPr>
          </w:p>
        </w:tc>
        <w:tc>
          <w:tcPr>
            <w:tcW w:w="868" w:type="pct"/>
            <w:noWrap w:val="0"/>
            <w:vAlign w:val="center"/>
          </w:tcPr>
          <w:p w14:paraId="35CAA707">
            <w:pPr>
              <w:adjustRightInd w:val="0"/>
              <w:snapToGrid w:val="0"/>
              <w:jc w:val="center"/>
              <w:rPr>
                <w:rFonts w:hAnsi="宋体" w:cs="宋体"/>
                <w:color w:val="auto"/>
                <w:szCs w:val="21"/>
                <w:highlight w:val="none"/>
              </w:rPr>
            </w:pPr>
          </w:p>
        </w:tc>
        <w:tc>
          <w:tcPr>
            <w:tcW w:w="1174" w:type="pct"/>
            <w:noWrap w:val="0"/>
            <w:vAlign w:val="center"/>
          </w:tcPr>
          <w:p w14:paraId="4F7E82B7">
            <w:pPr>
              <w:adjustRightInd w:val="0"/>
              <w:snapToGrid w:val="0"/>
              <w:jc w:val="left"/>
              <w:rPr>
                <w:rFonts w:hAnsi="宋体" w:cs="宋体"/>
                <w:color w:val="auto"/>
                <w:szCs w:val="21"/>
                <w:highlight w:val="none"/>
              </w:rPr>
            </w:pPr>
          </w:p>
        </w:tc>
        <w:tc>
          <w:tcPr>
            <w:tcW w:w="484" w:type="pct"/>
            <w:noWrap w:val="0"/>
            <w:vAlign w:val="center"/>
          </w:tcPr>
          <w:p w14:paraId="5286C569">
            <w:pPr>
              <w:adjustRightInd w:val="0"/>
              <w:snapToGrid w:val="0"/>
              <w:jc w:val="center"/>
              <w:rPr>
                <w:rFonts w:hAnsi="宋体" w:cs="宋体"/>
                <w:color w:val="auto"/>
                <w:szCs w:val="21"/>
                <w:highlight w:val="none"/>
              </w:rPr>
            </w:pPr>
          </w:p>
        </w:tc>
        <w:tc>
          <w:tcPr>
            <w:tcW w:w="487" w:type="pct"/>
            <w:noWrap w:val="0"/>
            <w:vAlign w:val="center"/>
          </w:tcPr>
          <w:p w14:paraId="1BF95AB2">
            <w:pPr>
              <w:adjustRightInd w:val="0"/>
              <w:snapToGrid w:val="0"/>
              <w:jc w:val="center"/>
              <w:rPr>
                <w:rFonts w:hAnsi="宋体" w:cs="宋体"/>
                <w:color w:val="auto"/>
                <w:sz w:val="18"/>
                <w:szCs w:val="18"/>
                <w:highlight w:val="none"/>
              </w:rPr>
            </w:pPr>
          </w:p>
        </w:tc>
        <w:tc>
          <w:tcPr>
            <w:tcW w:w="486" w:type="pct"/>
            <w:noWrap w:val="0"/>
            <w:vAlign w:val="center"/>
          </w:tcPr>
          <w:p w14:paraId="14DC46BB">
            <w:pPr>
              <w:adjustRightInd w:val="0"/>
              <w:snapToGrid w:val="0"/>
              <w:jc w:val="center"/>
              <w:rPr>
                <w:rFonts w:hAnsi="宋体" w:cs="宋体"/>
                <w:color w:val="auto"/>
                <w:sz w:val="18"/>
                <w:szCs w:val="18"/>
                <w:highlight w:val="none"/>
              </w:rPr>
            </w:pPr>
          </w:p>
        </w:tc>
        <w:tc>
          <w:tcPr>
            <w:tcW w:w="486" w:type="pct"/>
            <w:noWrap w:val="0"/>
            <w:vAlign w:val="center"/>
          </w:tcPr>
          <w:p w14:paraId="344A7034">
            <w:pPr>
              <w:adjustRightInd w:val="0"/>
              <w:snapToGrid w:val="0"/>
              <w:jc w:val="center"/>
              <w:rPr>
                <w:rFonts w:hAnsi="宋体" w:cs="宋体"/>
                <w:color w:val="auto"/>
                <w:sz w:val="18"/>
                <w:szCs w:val="18"/>
                <w:highlight w:val="none"/>
              </w:rPr>
            </w:pPr>
          </w:p>
        </w:tc>
        <w:tc>
          <w:tcPr>
            <w:tcW w:w="491" w:type="pct"/>
            <w:noWrap w:val="0"/>
            <w:vAlign w:val="center"/>
          </w:tcPr>
          <w:p w14:paraId="34D40F34">
            <w:pPr>
              <w:adjustRightInd w:val="0"/>
              <w:snapToGrid w:val="0"/>
              <w:jc w:val="center"/>
              <w:rPr>
                <w:rFonts w:hAnsi="宋体" w:cs="宋体"/>
                <w:color w:val="auto"/>
                <w:sz w:val="18"/>
                <w:szCs w:val="18"/>
                <w:highlight w:val="none"/>
              </w:rPr>
            </w:pPr>
          </w:p>
        </w:tc>
      </w:tr>
      <w:tr w14:paraId="2D9A43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521" w:type="pct"/>
            <w:noWrap w:val="0"/>
            <w:vAlign w:val="center"/>
          </w:tcPr>
          <w:p w14:paraId="6556F6C6">
            <w:pPr>
              <w:adjustRightInd w:val="0"/>
              <w:snapToGrid w:val="0"/>
              <w:jc w:val="center"/>
              <w:rPr>
                <w:rFonts w:hAnsi="宋体" w:cs="宋体"/>
                <w:color w:val="auto"/>
                <w:szCs w:val="21"/>
                <w:highlight w:val="none"/>
              </w:rPr>
            </w:pPr>
          </w:p>
        </w:tc>
        <w:tc>
          <w:tcPr>
            <w:tcW w:w="868" w:type="pct"/>
            <w:noWrap w:val="0"/>
            <w:vAlign w:val="center"/>
          </w:tcPr>
          <w:p w14:paraId="32EE3FEB">
            <w:pPr>
              <w:adjustRightInd w:val="0"/>
              <w:snapToGrid w:val="0"/>
              <w:jc w:val="center"/>
              <w:rPr>
                <w:rFonts w:hAnsi="宋体" w:cs="宋体"/>
                <w:color w:val="auto"/>
                <w:szCs w:val="21"/>
                <w:highlight w:val="none"/>
              </w:rPr>
            </w:pPr>
          </w:p>
        </w:tc>
        <w:tc>
          <w:tcPr>
            <w:tcW w:w="1174" w:type="pct"/>
            <w:noWrap w:val="0"/>
            <w:vAlign w:val="center"/>
          </w:tcPr>
          <w:p w14:paraId="3740DDE2">
            <w:pPr>
              <w:adjustRightInd w:val="0"/>
              <w:snapToGrid w:val="0"/>
              <w:jc w:val="left"/>
              <w:rPr>
                <w:rFonts w:hAnsi="宋体" w:cs="宋体"/>
                <w:color w:val="auto"/>
                <w:szCs w:val="21"/>
                <w:highlight w:val="none"/>
              </w:rPr>
            </w:pPr>
          </w:p>
        </w:tc>
        <w:tc>
          <w:tcPr>
            <w:tcW w:w="484" w:type="pct"/>
            <w:noWrap w:val="0"/>
            <w:vAlign w:val="center"/>
          </w:tcPr>
          <w:p w14:paraId="204440DF">
            <w:pPr>
              <w:adjustRightInd w:val="0"/>
              <w:snapToGrid w:val="0"/>
              <w:jc w:val="center"/>
              <w:rPr>
                <w:rFonts w:hAnsi="宋体" w:cs="宋体"/>
                <w:color w:val="auto"/>
                <w:szCs w:val="21"/>
                <w:highlight w:val="none"/>
              </w:rPr>
            </w:pPr>
          </w:p>
        </w:tc>
        <w:tc>
          <w:tcPr>
            <w:tcW w:w="487" w:type="pct"/>
            <w:noWrap w:val="0"/>
            <w:vAlign w:val="center"/>
          </w:tcPr>
          <w:p w14:paraId="71ED1F10">
            <w:pPr>
              <w:adjustRightInd w:val="0"/>
              <w:snapToGrid w:val="0"/>
              <w:jc w:val="center"/>
              <w:rPr>
                <w:rFonts w:hAnsi="宋体" w:cs="宋体"/>
                <w:color w:val="auto"/>
                <w:sz w:val="18"/>
                <w:szCs w:val="18"/>
                <w:highlight w:val="none"/>
              </w:rPr>
            </w:pPr>
          </w:p>
        </w:tc>
        <w:tc>
          <w:tcPr>
            <w:tcW w:w="486" w:type="pct"/>
            <w:noWrap w:val="0"/>
            <w:vAlign w:val="center"/>
          </w:tcPr>
          <w:p w14:paraId="63FFB40E">
            <w:pPr>
              <w:adjustRightInd w:val="0"/>
              <w:snapToGrid w:val="0"/>
              <w:jc w:val="center"/>
              <w:rPr>
                <w:rFonts w:hAnsi="宋体" w:cs="宋体"/>
                <w:color w:val="auto"/>
                <w:sz w:val="18"/>
                <w:szCs w:val="18"/>
                <w:highlight w:val="none"/>
              </w:rPr>
            </w:pPr>
          </w:p>
        </w:tc>
        <w:tc>
          <w:tcPr>
            <w:tcW w:w="486" w:type="pct"/>
            <w:noWrap w:val="0"/>
            <w:vAlign w:val="center"/>
          </w:tcPr>
          <w:p w14:paraId="1DD6CB67">
            <w:pPr>
              <w:adjustRightInd w:val="0"/>
              <w:snapToGrid w:val="0"/>
              <w:jc w:val="center"/>
              <w:rPr>
                <w:rFonts w:hAnsi="宋体" w:cs="宋体"/>
                <w:color w:val="auto"/>
                <w:sz w:val="18"/>
                <w:szCs w:val="18"/>
                <w:highlight w:val="none"/>
              </w:rPr>
            </w:pPr>
          </w:p>
        </w:tc>
        <w:tc>
          <w:tcPr>
            <w:tcW w:w="491" w:type="pct"/>
            <w:noWrap w:val="0"/>
            <w:vAlign w:val="center"/>
          </w:tcPr>
          <w:p w14:paraId="78E1F0B1">
            <w:pPr>
              <w:adjustRightInd w:val="0"/>
              <w:snapToGrid w:val="0"/>
              <w:jc w:val="center"/>
              <w:rPr>
                <w:rFonts w:hAnsi="宋体" w:cs="宋体"/>
                <w:color w:val="auto"/>
                <w:sz w:val="18"/>
                <w:szCs w:val="18"/>
                <w:highlight w:val="none"/>
              </w:rPr>
            </w:pPr>
          </w:p>
        </w:tc>
      </w:tr>
      <w:tr w14:paraId="4D937E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21" w:type="pct"/>
            <w:noWrap w:val="0"/>
            <w:vAlign w:val="center"/>
          </w:tcPr>
          <w:p w14:paraId="4C1F1F9E">
            <w:pPr>
              <w:adjustRightInd w:val="0"/>
              <w:snapToGrid w:val="0"/>
              <w:jc w:val="center"/>
              <w:rPr>
                <w:rFonts w:hAnsi="宋体" w:cs="宋体"/>
                <w:color w:val="auto"/>
                <w:szCs w:val="21"/>
                <w:highlight w:val="none"/>
              </w:rPr>
            </w:pPr>
          </w:p>
        </w:tc>
        <w:tc>
          <w:tcPr>
            <w:tcW w:w="868" w:type="pct"/>
            <w:noWrap w:val="0"/>
            <w:vAlign w:val="center"/>
          </w:tcPr>
          <w:p w14:paraId="09072FA4">
            <w:pPr>
              <w:adjustRightInd w:val="0"/>
              <w:snapToGrid w:val="0"/>
              <w:jc w:val="center"/>
              <w:rPr>
                <w:rFonts w:hAnsi="宋体" w:cs="宋体"/>
                <w:color w:val="auto"/>
                <w:szCs w:val="21"/>
                <w:highlight w:val="none"/>
              </w:rPr>
            </w:pPr>
          </w:p>
        </w:tc>
        <w:tc>
          <w:tcPr>
            <w:tcW w:w="1174" w:type="pct"/>
            <w:noWrap w:val="0"/>
            <w:vAlign w:val="center"/>
          </w:tcPr>
          <w:p w14:paraId="6233877C">
            <w:pPr>
              <w:adjustRightInd w:val="0"/>
              <w:snapToGrid w:val="0"/>
              <w:jc w:val="left"/>
              <w:rPr>
                <w:rFonts w:hAnsi="宋体" w:cs="宋体"/>
                <w:color w:val="auto"/>
                <w:szCs w:val="21"/>
                <w:highlight w:val="none"/>
              </w:rPr>
            </w:pPr>
          </w:p>
        </w:tc>
        <w:tc>
          <w:tcPr>
            <w:tcW w:w="484" w:type="pct"/>
            <w:noWrap w:val="0"/>
            <w:vAlign w:val="center"/>
          </w:tcPr>
          <w:p w14:paraId="48C679FF">
            <w:pPr>
              <w:adjustRightInd w:val="0"/>
              <w:snapToGrid w:val="0"/>
              <w:jc w:val="center"/>
              <w:rPr>
                <w:rFonts w:hAnsi="宋体" w:cs="宋体"/>
                <w:color w:val="auto"/>
                <w:szCs w:val="21"/>
                <w:highlight w:val="none"/>
              </w:rPr>
            </w:pPr>
          </w:p>
        </w:tc>
        <w:tc>
          <w:tcPr>
            <w:tcW w:w="487" w:type="pct"/>
            <w:noWrap w:val="0"/>
            <w:vAlign w:val="center"/>
          </w:tcPr>
          <w:p w14:paraId="002006EF">
            <w:pPr>
              <w:adjustRightInd w:val="0"/>
              <w:snapToGrid w:val="0"/>
              <w:jc w:val="center"/>
              <w:rPr>
                <w:rFonts w:hAnsi="宋体" w:cs="宋体"/>
                <w:color w:val="auto"/>
                <w:sz w:val="18"/>
                <w:szCs w:val="18"/>
                <w:highlight w:val="none"/>
              </w:rPr>
            </w:pPr>
          </w:p>
        </w:tc>
        <w:tc>
          <w:tcPr>
            <w:tcW w:w="486" w:type="pct"/>
            <w:noWrap w:val="0"/>
            <w:vAlign w:val="center"/>
          </w:tcPr>
          <w:p w14:paraId="12C79B8E">
            <w:pPr>
              <w:adjustRightInd w:val="0"/>
              <w:snapToGrid w:val="0"/>
              <w:jc w:val="center"/>
              <w:rPr>
                <w:rFonts w:hAnsi="宋体" w:cs="宋体"/>
                <w:color w:val="auto"/>
                <w:sz w:val="18"/>
                <w:szCs w:val="18"/>
                <w:highlight w:val="none"/>
              </w:rPr>
            </w:pPr>
          </w:p>
        </w:tc>
        <w:tc>
          <w:tcPr>
            <w:tcW w:w="486" w:type="pct"/>
            <w:noWrap w:val="0"/>
            <w:vAlign w:val="center"/>
          </w:tcPr>
          <w:p w14:paraId="3FA5312B">
            <w:pPr>
              <w:adjustRightInd w:val="0"/>
              <w:snapToGrid w:val="0"/>
              <w:jc w:val="center"/>
              <w:rPr>
                <w:rFonts w:hAnsi="宋体" w:cs="宋体"/>
                <w:color w:val="auto"/>
                <w:sz w:val="18"/>
                <w:szCs w:val="18"/>
                <w:highlight w:val="none"/>
              </w:rPr>
            </w:pPr>
          </w:p>
        </w:tc>
        <w:tc>
          <w:tcPr>
            <w:tcW w:w="491" w:type="pct"/>
            <w:noWrap w:val="0"/>
            <w:vAlign w:val="center"/>
          </w:tcPr>
          <w:p w14:paraId="60F73864">
            <w:pPr>
              <w:adjustRightInd w:val="0"/>
              <w:snapToGrid w:val="0"/>
              <w:jc w:val="center"/>
              <w:rPr>
                <w:rFonts w:hAnsi="宋体" w:cs="宋体"/>
                <w:color w:val="auto"/>
                <w:sz w:val="18"/>
                <w:szCs w:val="18"/>
                <w:highlight w:val="none"/>
              </w:rPr>
            </w:pPr>
          </w:p>
        </w:tc>
      </w:tr>
      <w:tr w14:paraId="4FD812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521" w:type="pct"/>
            <w:noWrap w:val="0"/>
            <w:vAlign w:val="center"/>
          </w:tcPr>
          <w:p w14:paraId="20DE3B58">
            <w:pPr>
              <w:adjustRightInd w:val="0"/>
              <w:snapToGrid w:val="0"/>
              <w:jc w:val="center"/>
              <w:rPr>
                <w:rFonts w:hAnsi="宋体" w:cs="宋体"/>
                <w:color w:val="auto"/>
                <w:szCs w:val="21"/>
                <w:highlight w:val="none"/>
              </w:rPr>
            </w:pPr>
          </w:p>
        </w:tc>
        <w:tc>
          <w:tcPr>
            <w:tcW w:w="868" w:type="pct"/>
            <w:noWrap w:val="0"/>
            <w:vAlign w:val="center"/>
          </w:tcPr>
          <w:p w14:paraId="04CBD717">
            <w:pPr>
              <w:adjustRightInd w:val="0"/>
              <w:snapToGrid w:val="0"/>
              <w:jc w:val="center"/>
              <w:rPr>
                <w:rFonts w:hAnsi="宋体" w:cs="宋体"/>
                <w:color w:val="auto"/>
                <w:szCs w:val="21"/>
                <w:highlight w:val="none"/>
              </w:rPr>
            </w:pPr>
          </w:p>
        </w:tc>
        <w:tc>
          <w:tcPr>
            <w:tcW w:w="1174" w:type="pct"/>
            <w:noWrap w:val="0"/>
            <w:vAlign w:val="center"/>
          </w:tcPr>
          <w:p w14:paraId="1998466F">
            <w:pPr>
              <w:adjustRightInd w:val="0"/>
              <w:snapToGrid w:val="0"/>
              <w:jc w:val="left"/>
              <w:rPr>
                <w:rFonts w:hAnsi="宋体" w:cs="宋体"/>
                <w:color w:val="auto"/>
                <w:szCs w:val="21"/>
                <w:highlight w:val="none"/>
              </w:rPr>
            </w:pPr>
          </w:p>
        </w:tc>
        <w:tc>
          <w:tcPr>
            <w:tcW w:w="484" w:type="pct"/>
            <w:noWrap w:val="0"/>
            <w:vAlign w:val="center"/>
          </w:tcPr>
          <w:p w14:paraId="2EA768DF">
            <w:pPr>
              <w:adjustRightInd w:val="0"/>
              <w:snapToGrid w:val="0"/>
              <w:jc w:val="center"/>
              <w:rPr>
                <w:rFonts w:hAnsi="宋体" w:cs="宋体"/>
                <w:color w:val="auto"/>
                <w:szCs w:val="21"/>
                <w:highlight w:val="none"/>
              </w:rPr>
            </w:pPr>
          </w:p>
        </w:tc>
        <w:tc>
          <w:tcPr>
            <w:tcW w:w="487" w:type="pct"/>
            <w:noWrap w:val="0"/>
            <w:vAlign w:val="center"/>
          </w:tcPr>
          <w:p w14:paraId="055E3F45">
            <w:pPr>
              <w:adjustRightInd w:val="0"/>
              <w:snapToGrid w:val="0"/>
              <w:jc w:val="center"/>
              <w:rPr>
                <w:rFonts w:hAnsi="宋体" w:cs="宋体"/>
                <w:color w:val="auto"/>
                <w:sz w:val="18"/>
                <w:szCs w:val="18"/>
                <w:highlight w:val="none"/>
              </w:rPr>
            </w:pPr>
          </w:p>
        </w:tc>
        <w:tc>
          <w:tcPr>
            <w:tcW w:w="486" w:type="pct"/>
            <w:noWrap w:val="0"/>
            <w:vAlign w:val="center"/>
          </w:tcPr>
          <w:p w14:paraId="099FDB13">
            <w:pPr>
              <w:adjustRightInd w:val="0"/>
              <w:snapToGrid w:val="0"/>
              <w:jc w:val="center"/>
              <w:rPr>
                <w:rFonts w:hAnsi="宋体" w:cs="宋体"/>
                <w:color w:val="auto"/>
                <w:sz w:val="18"/>
                <w:szCs w:val="18"/>
                <w:highlight w:val="none"/>
              </w:rPr>
            </w:pPr>
          </w:p>
        </w:tc>
        <w:tc>
          <w:tcPr>
            <w:tcW w:w="486" w:type="pct"/>
            <w:noWrap w:val="0"/>
            <w:vAlign w:val="center"/>
          </w:tcPr>
          <w:p w14:paraId="557FF202">
            <w:pPr>
              <w:adjustRightInd w:val="0"/>
              <w:snapToGrid w:val="0"/>
              <w:jc w:val="center"/>
              <w:rPr>
                <w:rFonts w:hAnsi="宋体" w:cs="宋体"/>
                <w:color w:val="auto"/>
                <w:sz w:val="18"/>
                <w:szCs w:val="18"/>
                <w:highlight w:val="none"/>
              </w:rPr>
            </w:pPr>
          </w:p>
        </w:tc>
        <w:tc>
          <w:tcPr>
            <w:tcW w:w="491" w:type="pct"/>
            <w:noWrap w:val="0"/>
            <w:vAlign w:val="center"/>
          </w:tcPr>
          <w:p w14:paraId="204BE1EC">
            <w:pPr>
              <w:adjustRightInd w:val="0"/>
              <w:snapToGrid w:val="0"/>
              <w:jc w:val="center"/>
              <w:rPr>
                <w:rFonts w:hAnsi="宋体" w:cs="宋体"/>
                <w:color w:val="auto"/>
                <w:sz w:val="18"/>
                <w:szCs w:val="18"/>
                <w:highlight w:val="none"/>
              </w:rPr>
            </w:pPr>
          </w:p>
        </w:tc>
      </w:tr>
      <w:tr w14:paraId="3DB5F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521" w:type="pct"/>
            <w:noWrap w:val="0"/>
            <w:vAlign w:val="center"/>
          </w:tcPr>
          <w:p w14:paraId="761C4EC3">
            <w:pPr>
              <w:adjustRightInd w:val="0"/>
              <w:snapToGrid w:val="0"/>
              <w:jc w:val="center"/>
              <w:rPr>
                <w:rFonts w:hAnsi="宋体" w:cs="宋体"/>
                <w:color w:val="auto"/>
                <w:szCs w:val="21"/>
                <w:highlight w:val="none"/>
              </w:rPr>
            </w:pPr>
          </w:p>
        </w:tc>
        <w:tc>
          <w:tcPr>
            <w:tcW w:w="868" w:type="pct"/>
            <w:noWrap w:val="0"/>
            <w:vAlign w:val="center"/>
          </w:tcPr>
          <w:p w14:paraId="3ADC8032">
            <w:pPr>
              <w:adjustRightInd w:val="0"/>
              <w:snapToGrid w:val="0"/>
              <w:jc w:val="center"/>
              <w:rPr>
                <w:rFonts w:hAnsi="宋体" w:cs="宋体"/>
                <w:color w:val="auto"/>
                <w:szCs w:val="21"/>
                <w:highlight w:val="none"/>
              </w:rPr>
            </w:pPr>
          </w:p>
        </w:tc>
        <w:tc>
          <w:tcPr>
            <w:tcW w:w="1174" w:type="pct"/>
            <w:noWrap w:val="0"/>
            <w:vAlign w:val="center"/>
          </w:tcPr>
          <w:p w14:paraId="3956D526">
            <w:pPr>
              <w:adjustRightInd w:val="0"/>
              <w:snapToGrid w:val="0"/>
              <w:jc w:val="left"/>
              <w:rPr>
                <w:rFonts w:hAnsi="宋体" w:cs="宋体"/>
                <w:color w:val="auto"/>
                <w:szCs w:val="21"/>
                <w:highlight w:val="none"/>
              </w:rPr>
            </w:pPr>
          </w:p>
        </w:tc>
        <w:tc>
          <w:tcPr>
            <w:tcW w:w="484" w:type="pct"/>
            <w:noWrap w:val="0"/>
            <w:vAlign w:val="center"/>
          </w:tcPr>
          <w:p w14:paraId="1C53537B">
            <w:pPr>
              <w:adjustRightInd w:val="0"/>
              <w:snapToGrid w:val="0"/>
              <w:jc w:val="center"/>
              <w:rPr>
                <w:rFonts w:hAnsi="宋体" w:cs="宋体"/>
                <w:color w:val="auto"/>
                <w:szCs w:val="21"/>
                <w:highlight w:val="none"/>
              </w:rPr>
            </w:pPr>
          </w:p>
        </w:tc>
        <w:tc>
          <w:tcPr>
            <w:tcW w:w="487" w:type="pct"/>
            <w:noWrap w:val="0"/>
            <w:vAlign w:val="center"/>
          </w:tcPr>
          <w:p w14:paraId="590909DF">
            <w:pPr>
              <w:adjustRightInd w:val="0"/>
              <w:snapToGrid w:val="0"/>
              <w:jc w:val="center"/>
              <w:rPr>
                <w:rFonts w:hAnsi="宋体" w:cs="宋体"/>
                <w:color w:val="auto"/>
                <w:sz w:val="18"/>
                <w:szCs w:val="18"/>
                <w:highlight w:val="none"/>
              </w:rPr>
            </w:pPr>
          </w:p>
        </w:tc>
        <w:tc>
          <w:tcPr>
            <w:tcW w:w="486" w:type="pct"/>
            <w:noWrap w:val="0"/>
            <w:vAlign w:val="center"/>
          </w:tcPr>
          <w:p w14:paraId="6EC2A58A">
            <w:pPr>
              <w:adjustRightInd w:val="0"/>
              <w:snapToGrid w:val="0"/>
              <w:jc w:val="center"/>
              <w:rPr>
                <w:rFonts w:hAnsi="宋体" w:cs="宋体"/>
                <w:color w:val="auto"/>
                <w:sz w:val="18"/>
                <w:szCs w:val="18"/>
                <w:highlight w:val="none"/>
              </w:rPr>
            </w:pPr>
          </w:p>
        </w:tc>
        <w:tc>
          <w:tcPr>
            <w:tcW w:w="486" w:type="pct"/>
            <w:noWrap w:val="0"/>
            <w:vAlign w:val="center"/>
          </w:tcPr>
          <w:p w14:paraId="50696780">
            <w:pPr>
              <w:adjustRightInd w:val="0"/>
              <w:snapToGrid w:val="0"/>
              <w:jc w:val="center"/>
              <w:rPr>
                <w:rFonts w:hAnsi="宋体" w:cs="宋体"/>
                <w:color w:val="auto"/>
                <w:sz w:val="18"/>
                <w:szCs w:val="18"/>
                <w:highlight w:val="none"/>
              </w:rPr>
            </w:pPr>
          </w:p>
        </w:tc>
        <w:tc>
          <w:tcPr>
            <w:tcW w:w="491" w:type="pct"/>
            <w:noWrap w:val="0"/>
            <w:vAlign w:val="center"/>
          </w:tcPr>
          <w:p w14:paraId="38FB3C82">
            <w:pPr>
              <w:adjustRightInd w:val="0"/>
              <w:snapToGrid w:val="0"/>
              <w:jc w:val="center"/>
              <w:rPr>
                <w:rFonts w:hAnsi="宋体" w:cs="宋体"/>
                <w:color w:val="auto"/>
                <w:sz w:val="18"/>
                <w:szCs w:val="18"/>
                <w:highlight w:val="none"/>
              </w:rPr>
            </w:pPr>
          </w:p>
        </w:tc>
      </w:tr>
      <w:tr w14:paraId="0F6493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21" w:type="pct"/>
            <w:noWrap w:val="0"/>
            <w:vAlign w:val="center"/>
          </w:tcPr>
          <w:p w14:paraId="7782E522">
            <w:pPr>
              <w:adjustRightInd w:val="0"/>
              <w:snapToGrid w:val="0"/>
              <w:jc w:val="center"/>
              <w:rPr>
                <w:rFonts w:hAnsi="宋体" w:cs="宋体"/>
                <w:color w:val="auto"/>
                <w:szCs w:val="21"/>
                <w:highlight w:val="none"/>
              </w:rPr>
            </w:pPr>
            <w:r>
              <w:rPr>
                <w:rFonts w:hint="eastAsia" w:hAnsi="宋体" w:cs="宋体"/>
                <w:color w:val="auto"/>
                <w:szCs w:val="21"/>
                <w:highlight w:val="none"/>
              </w:rPr>
              <w:t>合计价</w:t>
            </w:r>
          </w:p>
        </w:tc>
        <w:tc>
          <w:tcPr>
            <w:tcW w:w="868" w:type="pct"/>
            <w:noWrap w:val="0"/>
            <w:vAlign w:val="center"/>
          </w:tcPr>
          <w:p w14:paraId="53582955">
            <w:pPr>
              <w:adjustRightInd w:val="0"/>
              <w:snapToGrid w:val="0"/>
              <w:jc w:val="center"/>
              <w:rPr>
                <w:rFonts w:hint="eastAsia" w:hAnsi="宋体" w:cs="宋体"/>
                <w:color w:val="auto"/>
                <w:szCs w:val="21"/>
                <w:highlight w:val="none"/>
              </w:rPr>
            </w:pPr>
          </w:p>
        </w:tc>
        <w:tc>
          <w:tcPr>
            <w:tcW w:w="1174" w:type="pct"/>
            <w:noWrap w:val="0"/>
            <w:vAlign w:val="center"/>
          </w:tcPr>
          <w:p w14:paraId="53951436">
            <w:pPr>
              <w:adjustRightInd w:val="0"/>
              <w:snapToGrid w:val="0"/>
              <w:jc w:val="center"/>
              <w:rPr>
                <w:rFonts w:hint="eastAsia" w:hAnsi="宋体" w:cs="宋体"/>
                <w:color w:val="auto"/>
                <w:szCs w:val="21"/>
                <w:highlight w:val="none"/>
              </w:rPr>
            </w:pPr>
          </w:p>
        </w:tc>
        <w:tc>
          <w:tcPr>
            <w:tcW w:w="484" w:type="pct"/>
            <w:noWrap w:val="0"/>
            <w:vAlign w:val="center"/>
          </w:tcPr>
          <w:p w14:paraId="5B094D4B">
            <w:pPr>
              <w:adjustRightInd w:val="0"/>
              <w:snapToGrid w:val="0"/>
              <w:jc w:val="center"/>
              <w:rPr>
                <w:rFonts w:hint="eastAsia" w:hAnsi="宋体" w:cs="宋体"/>
                <w:color w:val="auto"/>
                <w:szCs w:val="21"/>
                <w:highlight w:val="none"/>
              </w:rPr>
            </w:pPr>
          </w:p>
        </w:tc>
        <w:tc>
          <w:tcPr>
            <w:tcW w:w="487" w:type="pct"/>
            <w:noWrap w:val="0"/>
            <w:vAlign w:val="center"/>
          </w:tcPr>
          <w:p w14:paraId="75389686">
            <w:pPr>
              <w:adjustRightInd w:val="0"/>
              <w:snapToGrid w:val="0"/>
              <w:jc w:val="center"/>
              <w:rPr>
                <w:rFonts w:hint="eastAsia" w:hAnsi="宋体" w:cs="宋体"/>
                <w:color w:val="auto"/>
                <w:szCs w:val="21"/>
                <w:highlight w:val="none"/>
              </w:rPr>
            </w:pPr>
          </w:p>
        </w:tc>
        <w:tc>
          <w:tcPr>
            <w:tcW w:w="1464" w:type="pct"/>
            <w:gridSpan w:val="3"/>
            <w:noWrap w:val="0"/>
            <w:vAlign w:val="center"/>
          </w:tcPr>
          <w:p w14:paraId="1FBF2C48">
            <w:pPr>
              <w:adjustRightInd w:val="0"/>
              <w:snapToGrid w:val="0"/>
              <w:jc w:val="center"/>
              <w:rPr>
                <w:rFonts w:hAnsi="宋体" w:cs="宋体"/>
                <w:color w:val="auto"/>
                <w:szCs w:val="21"/>
                <w:highlight w:val="none"/>
              </w:rPr>
            </w:pPr>
          </w:p>
        </w:tc>
      </w:tr>
    </w:tbl>
    <w:p w14:paraId="361F5147">
      <w:pPr>
        <w:keepNext w:val="0"/>
        <w:keepLines w:val="0"/>
        <w:pageBreakBefore w:val="0"/>
        <w:kinsoku/>
        <w:wordWrap/>
        <w:topLinePunct w:val="0"/>
        <w:bidi w:val="0"/>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p>
    <w:p w14:paraId="0F98D4E0">
      <w:pPr>
        <w:keepNext w:val="0"/>
        <w:keepLines w:val="0"/>
        <w:pageBreakBefore w:val="0"/>
        <w:kinsoku/>
        <w:wordWrap/>
        <w:topLinePunct w:val="0"/>
        <w:bidi w:val="0"/>
        <w:spacing w:line="360" w:lineRule="auto"/>
        <w:ind w:left="252" w:right="255" w:firstLine="420"/>
        <w:jc w:val="left"/>
        <w:rPr>
          <w:rFonts w:hint="eastAsia" w:asciiTheme="minorEastAsia" w:hAnsiTheme="minorEastAsia" w:eastAsiaTheme="minorEastAsia" w:cstheme="minorEastAsia"/>
          <w:color w:val="auto"/>
          <w:sz w:val="21"/>
          <w:szCs w:val="21"/>
          <w:highlight w:val="none"/>
        </w:rPr>
        <w:sectPr>
          <w:footerReference r:id="rId5" w:type="default"/>
          <w:pgSz w:w="11910" w:h="16840"/>
          <w:pgMar w:top="1134" w:right="1134" w:bottom="1134" w:left="1134" w:header="680" w:footer="680" w:gutter="0"/>
          <w:pgNumType w:fmt="decimal" w:start="1"/>
          <w:cols w:space="0" w:num="1"/>
          <w:rtlGutter w:val="0"/>
          <w:docGrid w:linePitch="0" w:charSpace="0"/>
        </w:sectPr>
      </w:pPr>
    </w:p>
    <w:p w14:paraId="12C8FFEC">
      <w:pPr>
        <w:pStyle w:val="3"/>
        <w:shd w:val="clear" w:color="auto" w:fill="auto"/>
        <w:spacing w:line="360" w:lineRule="auto"/>
        <w:rPr>
          <w:rFonts w:hint="eastAsia" w:ascii="宋体" w:hAnsi="宋体" w:eastAsia="宋体" w:cs="宋体"/>
          <w:color w:val="auto"/>
          <w:sz w:val="36"/>
          <w:szCs w:val="36"/>
          <w:highlight w:val="none"/>
        </w:rPr>
      </w:pPr>
      <w:bookmarkStart w:id="151" w:name="_Toc9125"/>
      <w:r>
        <w:rPr>
          <w:rFonts w:hint="eastAsia" w:ascii="宋体" w:hAnsi="宋体" w:eastAsia="宋体" w:cs="宋体"/>
          <w:color w:val="auto"/>
          <w:sz w:val="36"/>
          <w:szCs w:val="36"/>
          <w:highlight w:val="none"/>
        </w:rPr>
        <w:t>第三部分   附件</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38702116">
      <w:pPr>
        <w:shd w:val="clear" w:color="auto" w:fill="auto"/>
        <w:spacing w:line="46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附件一</w:t>
      </w:r>
    </w:p>
    <w:p w14:paraId="4814C592">
      <w:pPr>
        <w:shd w:val="clear" w:color="auto" w:fill="auto"/>
        <w:spacing w:line="38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资格文件</w:t>
      </w:r>
    </w:p>
    <w:p w14:paraId="1B2902DE">
      <w:pPr>
        <w:shd w:val="clear" w:color="auto" w:fill="auto"/>
        <w:spacing w:line="38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（1）-1法定代表人声明书</w:t>
      </w:r>
    </w:p>
    <w:p w14:paraId="2142F7F2">
      <w:pPr>
        <w:shd w:val="clear" w:color="auto" w:fill="auto"/>
        <w:spacing w:line="400" w:lineRule="exact"/>
        <w:rPr>
          <w:rFonts w:hint="eastAsia" w:ascii="宋体" w:hAnsi="宋体" w:eastAsia="宋体" w:cs="宋体"/>
          <w:color w:val="auto"/>
          <w:sz w:val="22"/>
          <w:szCs w:val="22"/>
          <w:highlight w:val="none"/>
        </w:rPr>
      </w:pPr>
    </w:p>
    <w:p w14:paraId="0986F5C4">
      <w:pPr>
        <w:shd w:val="clear" w:color="auto" w:fill="auto"/>
        <w:spacing w:line="420" w:lineRule="exact"/>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温州交运集团泰顺有限公司</w:t>
      </w:r>
      <w:r>
        <w:rPr>
          <w:rFonts w:hint="eastAsia" w:ascii="宋体" w:hAnsi="宋体" w:eastAsia="宋体" w:cs="宋体"/>
          <w:color w:val="auto"/>
          <w:sz w:val="22"/>
          <w:szCs w:val="22"/>
          <w:highlight w:val="none"/>
        </w:rPr>
        <w:t>：</w:t>
      </w:r>
    </w:p>
    <w:p w14:paraId="34200C02">
      <w:pPr>
        <w:shd w:val="clear" w:color="auto" w:fill="auto"/>
        <w:spacing w:line="4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浙江林鸥工程管理有限公司</w:t>
      </w:r>
      <w:r>
        <w:rPr>
          <w:rFonts w:hint="eastAsia" w:ascii="宋体" w:hAnsi="宋体" w:eastAsia="宋体" w:cs="宋体"/>
          <w:color w:val="auto"/>
          <w:sz w:val="22"/>
          <w:szCs w:val="22"/>
          <w:highlight w:val="none"/>
        </w:rPr>
        <w:t>：</w:t>
      </w:r>
    </w:p>
    <w:p w14:paraId="2A2C32DE">
      <w:pPr>
        <w:shd w:val="clear" w:color="auto" w:fill="auto"/>
        <w:spacing w:line="460" w:lineRule="exact"/>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本人</w:t>
      </w:r>
      <w:r>
        <w:rPr>
          <w:rFonts w:hint="eastAsia" w:ascii="宋体" w:hAnsi="宋体" w:eastAsia="宋体" w:cs="宋体"/>
          <w:color w:val="auto"/>
          <w:sz w:val="22"/>
          <w:szCs w:val="22"/>
          <w:highlight w:val="none"/>
          <w:u w:val="single"/>
        </w:rPr>
        <w:t>（法定代表人姓名）</w:t>
      </w:r>
      <w:r>
        <w:rPr>
          <w:rFonts w:hint="eastAsia" w:ascii="宋体" w:hAnsi="宋体" w:eastAsia="宋体" w:cs="宋体"/>
          <w:color w:val="auto"/>
          <w:sz w:val="22"/>
          <w:szCs w:val="22"/>
          <w:highlight w:val="none"/>
        </w:rPr>
        <w:t>为</w:t>
      </w:r>
      <w:r>
        <w:rPr>
          <w:rFonts w:hint="eastAsia" w:ascii="宋体" w:hAnsi="宋体" w:eastAsia="宋体" w:cs="宋体"/>
          <w:color w:val="auto"/>
          <w:sz w:val="22"/>
          <w:szCs w:val="22"/>
          <w:highlight w:val="none"/>
          <w:u w:val="single"/>
        </w:rPr>
        <w:t>（投标人全称）</w:t>
      </w:r>
      <w:r>
        <w:rPr>
          <w:rFonts w:hint="eastAsia" w:ascii="宋体" w:hAnsi="宋体" w:eastAsia="宋体" w:cs="宋体"/>
          <w:color w:val="auto"/>
          <w:sz w:val="22"/>
          <w:szCs w:val="22"/>
          <w:highlight w:val="none"/>
        </w:rPr>
        <w:t>的法定代表人。我公司参加贵单位组织的</w:t>
      </w:r>
      <w:r>
        <w:rPr>
          <w:rFonts w:hint="eastAsia" w:ascii="宋体" w:hAnsi="宋体" w:eastAsia="宋体" w:cs="宋体"/>
          <w:color w:val="auto"/>
          <w:sz w:val="22"/>
          <w:szCs w:val="22"/>
          <w:highlight w:val="none"/>
          <w:u w:val="single"/>
        </w:rPr>
        <w:t>（项目名称、项目编号）</w:t>
      </w:r>
      <w:r>
        <w:rPr>
          <w:rFonts w:hint="eastAsia" w:ascii="宋体" w:hAnsi="宋体" w:eastAsia="宋体" w:cs="宋体"/>
          <w:color w:val="auto"/>
          <w:sz w:val="22"/>
          <w:szCs w:val="22"/>
          <w:highlight w:val="none"/>
        </w:rPr>
        <w:t>的采购活动，由我本人全权代表我方处理采购活动中的一切事宜。联系方式如下：</w:t>
      </w:r>
      <w:r>
        <w:rPr>
          <w:rFonts w:hint="eastAsia" w:ascii="宋体" w:hAnsi="宋体" w:eastAsia="宋体" w:cs="宋体"/>
          <w:color w:val="auto"/>
          <w:sz w:val="22"/>
          <w:szCs w:val="22"/>
          <w:highlight w:val="none"/>
          <w:u w:val="single"/>
        </w:rPr>
        <w:t xml:space="preserve">手机号码：       联系邮箱:         详细通讯地址：             </w:t>
      </w:r>
      <w:r>
        <w:rPr>
          <w:rFonts w:hint="eastAsia" w:ascii="宋体" w:hAnsi="宋体" w:eastAsia="宋体" w:cs="宋体"/>
          <w:color w:val="auto"/>
          <w:sz w:val="22"/>
          <w:szCs w:val="22"/>
          <w:highlight w:val="none"/>
        </w:rPr>
        <w:t xml:space="preserve"> 。  </w:t>
      </w:r>
    </w:p>
    <w:p w14:paraId="779C0CFF">
      <w:pPr>
        <w:shd w:val="clear" w:color="auto" w:fill="auto"/>
        <w:spacing w:line="400" w:lineRule="exact"/>
        <w:rPr>
          <w:rFonts w:hint="eastAsia" w:ascii="宋体" w:hAnsi="宋体" w:eastAsia="宋体" w:cs="宋体"/>
          <w:color w:val="auto"/>
          <w:sz w:val="22"/>
          <w:szCs w:val="22"/>
          <w:highlight w:val="none"/>
        </w:rPr>
      </w:pPr>
    </w:p>
    <w:p w14:paraId="368A9B82">
      <w:pPr>
        <w:shd w:val="clear" w:color="auto" w:fill="auto"/>
        <w:spacing w:line="400" w:lineRule="exact"/>
        <w:rPr>
          <w:rFonts w:hint="eastAsia" w:ascii="宋体" w:hAnsi="宋体" w:eastAsia="宋体" w:cs="宋体"/>
          <w:color w:val="auto"/>
          <w:sz w:val="22"/>
          <w:szCs w:val="22"/>
          <w:highlight w:val="none"/>
        </w:rPr>
      </w:pPr>
    </w:p>
    <w:p w14:paraId="79C20FE2">
      <w:pPr>
        <w:shd w:val="clear" w:color="auto" w:fill="auto"/>
        <w:spacing w:line="400" w:lineRule="exact"/>
        <w:rPr>
          <w:rFonts w:hint="eastAsia" w:ascii="宋体" w:hAnsi="宋体" w:eastAsia="宋体" w:cs="宋体"/>
          <w:color w:val="auto"/>
          <w:sz w:val="22"/>
          <w:szCs w:val="22"/>
          <w:highlight w:val="none"/>
        </w:rPr>
      </w:pPr>
    </w:p>
    <w:p w14:paraId="729A7E51">
      <w:pPr>
        <w:shd w:val="clear" w:color="auto" w:fill="auto"/>
        <w:spacing w:line="460" w:lineRule="exact"/>
        <w:ind w:firstLine="3971" w:firstLineChars="1805"/>
        <w:rPr>
          <w:rFonts w:hint="eastAsia" w:ascii="宋体" w:hAnsi="宋体" w:eastAsia="宋体" w:cs="宋体"/>
          <w:color w:val="auto"/>
          <w:sz w:val="22"/>
          <w:szCs w:val="22"/>
          <w:highlight w:val="none"/>
        </w:rPr>
      </w:pPr>
    </w:p>
    <w:p w14:paraId="4E6AABD0">
      <w:pPr>
        <w:shd w:val="clear" w:color="auto" w:fill="auto"/>
        <w:spacing w:line="460" w:lineRule="exact"/>
        <w:ind w:firstLine="295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投标人名称（盖章）：</w:t>
      </w:r>
    </w:p>
    <w:p w14:paraId="75C3B5FE">
      <w:pPr>
        <w:shd w:val="clear" w:color="auto" w:fill="auto"/>
        <w:spacing w:line="460" w:lineRule="exact"/>
        <w:ind w:firstLine="295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日期：     年    月   日</w:t>
      </w:r>
    </w:p>
    <w:p w14:paraId="3F7E6335">
      <w:pPr>
        <w:shd w:val="clear" w:color="auto" w:fill="auto"/>
        <w:spacing w:line="460" w:lineRule="exact"/>
        <w:rPr>
          <w:rFonts w:hint="eastAsia" w:ascii="宋体" w:hAnsi="宋体" w:eastAsia="宋体" w:cs="宋体"/>
          <w:color w:val="auto"/>
          <w:sz w:val="22"/>
          <w:szCs w:val="22"/>
          <w:highlight w:val="none"/>
        </w:rPr>
      </w:pPr>
    </w:p>
    <w:p w14:paraId="28F543D4">
      <w:pPr>
        <w:widowControl/>
        <w:shd w:val="clear" w:color="auto" w:fill="auto"/>
        <w:jc w:val="left"/>
        <w:rPr>
          <w:rFonts w:hint="eastAsia" w:ascii="宋体" w:hAnsi="宋体" w:eastAsia="宋体" w:cs="宋体"/>
          <w:color w:val="auto"/>
          <w:sz w:val="22"/>
          <w:szCs w:val="22"/>
          <w:highlight w:val="none"/>
        </w:rPr>
      </w:pPr>
    </w:p>
    <w:p w14:paraId="51C22685">
      <w:pPr>
        <w:widowControl/>
        <w:shd w:val="clear" w:color="auto" w:fill="auto"/>
        <w:jc w:val="left"/>
        <w:rPr>
          <w:rFonts w:hint="eastAsia" w:ascii="宋体" w:hAnsi="宋体" w:eastAsia="宋体" w:cs="宋体"/>
          <w:color w:val="auto"/>
          <w:sz w:val="22"/>
          <w:szCs w:val="22"/>
          <w:highlight w:val="none"/>
        </w:rPr>
      </w:pPr>
    </w:p>
    <w:p w14:paraId="119C0320">
      <w:pPr>
        <w:widowControl/>
        <w:shd w:val="clear" w:color="auto" w:fill="auto"/>
        <w:jc w:val="left"/>
        <w:rPr>
          <w:rFonts w:hint="eastAsia" w:ascii="宋体" w:hAnsi="宋体" w:eastAsia="宋体" w:cs="宋体"/>
          <w:color w:val="auto"/>
          <w:szCs w:val="21"/>
          <w:highlight w:val="none"/>
        </w:rPr>
      </w:pPr>
      <w:r>
        <w:rPr>
          <w:rFonts w:hint="eastAsia" w:ascii="宋体" w:hAnsi="宋体" w:eastAsia="宋体" w:cs="宋体"/>
          <w:b/>
          <w:color w:val="auto"/>
          <w:sz w:val="22"/>
          <w:szCs w:val="22"/>
          <w:highlight w:val="none"/>
        </w:rPr>
        <w:t>附：法定代表人身份证正反面复印件</w:t>
      </w:r>
      <w:r>
        <w:rPr>
          <w:rFonts w:hint="eastAsia" w:ascii="宋体" w:hAnsi="宋体" w:eastAsia="宋体" w:cs="宋体"/>
          <w:color w:val="auto"/>
          <w:sz w:val="22"/>
          <w:szCs w:val="22"/>
          <w:highlight w:val="none"/>
        </w:rPr>
        <w:br w:type="page"/>
      </w:r>
    </w:p>
    <w:p w14:paraId="2798BC15">
      <w:pPr>
        <w:shd w:val="clear" w:color="auto" w:fill="auto"/>
        <w:spacing w:line="38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（1）-2法定代表人授权书</w:t>
      </w:r>
    </w:p>
    <w:p w14:paraId="60BBA077">
      <w:pPr>
        <w:shd w:val="clear" w:color="auto" w:fill="auto"/>
        <w:spacing w:line="400" w:lineRule="exact"/>
        <w:jc w:val="center"/>
        <w:rPr>
          <w:rFonts w:hint="eastAsia" w:ascii="宋体" w:hAnsi="宋体" w:eastAsia="宋体" w:cs="宋体"/>
          <w:b/>
          <w:bCs/>
          <w:color w:val="auto"/>
          <w:sz w:val="22"/>
          <w:szCs w:val="22"/>
          <w:highlight w:val="none"/>
        </w:rPr>
      </w:pPr>
    </w:p>
    <w:p w14:paraId="5CD72ED3">
      <w:pPr>
        <w:shd w:val="clear" w:color="auto" w:fill="auto"/>
        <w:spacing w:line="420" w:lineRule="exact"/>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温州交运集团泰顺有限公司</w:t>
      </w:r>
      <w:r>
        <w:rPr>
          <w:rFonts w:hint="eastAsia" w:ascii="宋体" w:hAnsi="宋体" w:eastAsia="宋体" w:cs="宋体"/>
          <w:color w:val="auto"/>
          <w:sz w:val="22"/>
          <w:szCs w:val="22"/>
          <w:highlight w:val="none"/>
        </w:rPr>
        <w:t>：</w:t>
      </w:r>
    </w:p>
    <w:p w14:paraId="24E88D95">
      <w:pPr>
        <w:shd w:val="clear" w:color="auto" w:fill="auto"/>
        <w:spacing w:line="4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浙江林鸥工程管理有限公司</w:t>
      </w:r>
      <w:r>
        <w:rPr>
          <w:rFonts w:hint="eastAsia" w:ascii="宋体" w:hAnsi="宋体" w:eastAsia="宋体" w:cs="宋体"/>
          <w:color w:val="auto"/>
          <w:sz w:val="22"/>
          <w:szCs w:val="22"/>
          <w:highlight w:val="none"/>
        </w:rPr>
        <w:t>：</w:t>
      </w:r>
    </w:p>
    <w:p w14:paraId="319C4CF0">
      <w:pPr>
        <w:shd w:val="clear" w:color="auto" w:fill="auto"/>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（投标人全称）</w:t>
      </w:r>
      <w:r>
        <w:rPr>
          <w:rFonts w:hint="eastAsia" w:ascii="宋体" w:hAnsi="宋体" w:eastAsia="宋体" w:cs="宋体"/>
          <w:color w:val="auto"/>
          <w:sz w:val="22"/>
          <w:szCs w:val="22"/>
          <w:highlight w:val="none"/>
        </w:rPr>
        <w:t xml:space="preserve">法定代表人 </w:t>
      </w:r>
      <w:r>
        <w:rPr>
          <w:rFonts w:hint="eastAsia" w:ascii="宋体" w:hAnsi="宋体" w:eastAsia="宋体" w:cs="宋体"/>
          <w:color w:val="auto"/>
          <w:sz w:val="22"/>
          <w:szCs w:val="22"/>
          <w:highlight w:val="none"/>
          <w:u w:val="single"/>
        </w:rPr>
        <w:t>（法定代表人姓名）</w:t>
      </w:r>
      <w:r>
        <w:rPr>
          <w:rFonts w:hint="eastAsia" w:ascii="宋体" w:hAnsi="宋体" w:eastAsia="宋体" w:cs="宋体"/>
          <w:color w:val="auto"/>
          <w:sz w:val="22"/>
          <w:szCs w:val="22"/>
          <w:highlight w:val="none"/>
        </w:rPr>
        <w:t xml:space="preserve"> 授权</w:t>
      </w:r>
      <w:r>
        <w:rPr>
          <w:rFonts w:hint="eastAsia" w:ascii="宋体" w:hAnsi="宋体" w:eastAsia="宋体" w:cs="宋体"/>
          <w:color w:val="auto"/>
          <w:sz w:val="22"/>
          <w:szCs w:val="22"/>
          <w:highlight w:val="none"/>
          <w:u w:val="single"/>
        </w:rPr>
        <w:t>（委托代理人姓名）</w:t>
      </w:r>
      <w:r>
        <w:rPr>
          <w:rFonts w:hint="eastAsia" w:ascii="宋体" w:hAnsi="宋体" w:eastAsia="宋体" w:cs="宋体"/>
          <w:color w:val="auto"/>
          <w:sz w:val="22"/>
          <w:szCs w:val="22"/>
          <w:highlight w:val="none"/>
        </w:rPr>
        <w:t>为本项目全权代表，参加贵单位组织的</w:t>
      </w:r>
      <w:r>
        <w:rPr>
          <w:rFonts w:hint="eastAsia" w:ascii="宋体" w:hAnsi="宋体" w:eastAsia="宋体" w:cs="宋体"/>
          <w:color w:val="auto"/>
          <w:sz w:val="22"/>
          <w:szCs w:val="22"/>
          <w:highlight w:val="none"/>
          <w:u w:val="single"/>
        </w:rPr>
        <w:t>（项目名称、项目编号）</w:t>
      </w:r>
      <w:r>
        <w:rPr>
          <w:rFonts w:hint="eastAsia" w:ascii="宋体" w:hAnsi="宋体" w:eastAsia="宋体" w:cs="宋体"/>
          <w:color w:val="auto"/>
          <w:sz w:val="22"/>
          <w:szCs w:val="22"/>
          <w:highlight w:val="none"/>
        </w:rPr>
        <w:t>的采购活动，全权代表我方处理采购活动中的一切事宜。联系方式如下：</w:t>
      </w:r>
      <w:r>
        <w:rPr>
          <w:rFonts w:hint="eastAsia" w:ascii="宋体" w:hAnsi="宋体" w:eastAsia="宋体" w:cs="宋体"/>
          <w:color w:val="auto"/>
          <w:sz w:val="22"/>
          <w:szCs w:val="22"/>
          <w:highlight w:val="none"/>
          <w:u w:val="single"/>
        </w:rPr>
        <w:t xml:space="preserve">手机号码：       联系邮箱:         详细通讯地址：             </w:t>
      </w:r>
      <w:r>
        <w:rPr>
          <w:rFonts w:hint="eastAsia" w:ascii="宋体" w:hAnsi="宋体" w:eastAsia="宋体" w:cs="宋体"/>
          <w:color w:val="auto"/>
          <w:sz w:val="22"/>
          <w:szCs w:val="22"/>
          <w:highlight w:val="none"/>
        </w:rPr>
        <w:t xml:space="preserve"> 。  </w:t>
      </w:r>
    </w:p>
    <w:p w14:paraId="0B1DB047">
      <w:pPr>
        <w:shd w:val="clear" w:color="auto" w:fill="auto"/>
        <w:spacing w:line="460" w:lineRule="exact"/>
        <w:ind w:firstLine="220" w:firstLineChars="100"/>
        <w:rPr>
          <w:rFonts w:hint="eastAsia" w:ascii="宋体" w:hAnsi="宋体" w:eastAsia="宋体" w:cs="宋体"/>
          <w:color w:val="auto"/>
          <w:sz w:val="22"/>
          <w:szCs w:val="22"/>
          <w:highlight w:val="none"/>
        </w:rPr>
      </w:pPr>
    </w:p>
    <w:p w14:paraId="022D181E">
      <w:pPr>
        <w:shd w:val="clear" w:color="auto" w:fill="auto"/>
        <w:spacing w:line="460" w:lineRule="exact"/>
        <w:ind w:firstLine="550" w:firstLineChars="250"/>
        <w:rPr>
          <w:rFonts w:hint="eastAsia" w:ascii="宋体" w:hAnsi="宋体" w:eastAsia="宋体" w:cs="宋体"/>
          <w:color w:val="auto"/>
          <w:sz w:val="22"/>
          <w:szCs w:val="22"/>
          <w:highlight w:val="none"/>
        </w:rPr>
      </w:pPr>
    </w:p>
    <w:p w14:paraId="1E555159">
      <w:pPr>
        <w:shd w:val="clear" w:color="auto" w:fill="auto"/>
        <w:spacing w:line="460" w:lineRule="exact"/>
        <w:ind w:firstLine="2955"/>
        <w:rPr>
          <w:rFonts w:hint="eastAsia" w:ascii="宋体" w:hAnsi="宋体" w:eastAsia="宋体" w:cs="宋体"/>
          <w:color w:val="auto"/>
          <w:sz w:val="22"/>
          <w:szCs w:val="22"/>
          <w:highlight w:val="none"/>
        </w:rPr>
      </w:pPr>
    </w:p>
    <w:p w14:paraId="1868F4F5">
      <w:pPr>
        <w:shd w:val="clear" w:color="auto" w:fill="auto"/>
        <w:spacing w:line="460" w:lineRule="exact"/>
        <w:ind w:firstLine="2955"/>
        <w:rPr>
          <w:rFonts w:hint="eastAsia" w:ascii="宋体" w:hAnsi="宋体" w:eastAsia="宋体" w:cs="宋体"/>
          <w:color w:val="auto"/>
          <w:sz w:val="22"/>
          <w:szCs w:val="22"/>
          <w:highlight w:val="none"/>
        </w:rPr>
      </w:pPr>
    </w:p>
    <w:p w14:paraId="59FFB057">
      <w:pPr>
        <w:shd w:val="clear" w:color="auto" w:fill="auto"/>
        <w:spacing w:line="460" w:lineRule="exact"/>
        <w:ind w:firstLine="3971" w:firstLineChars="180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 (签字或盖章)：</w:t>
      </w:r>
    </w:p>
    <w:p w14:paraId="5683F304">
      <w:pPr>
        <w:shd w:val="clear" w:color="auto" w:fill="auto"/>
        <w:spacing w:line="460" w:lineRule="exact"/>
        <w:ind w:firstLine="295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投标人名称（盖章）：</w:t>
      </w:r>
    </w:p>
    <w:p w14:paraId="2252C444">
      <w:pPr>
        <w:shd w:val="clear" w:color="auto" w:fill="auto"/>
        <w:spacing w:line="460" w:lineRule="exact"/>
        <w:ind w:firstLine="295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日期：     年    月   日</w:t>
      </w:r>
    </w:p>
    <w:p w14:paraId="2D0353C8">
      <w:pPr>
        <w:shd w:val="clear" w:color="auto" w:fill="auto"/>
        <w:spacing w:line="460" w:lineRule="exact"/>
        <w:rPr>
          <w:rFonts w:hint="eastAsia" w:ascii="宋体" w:hAnsi="宋体" w:eastAsia="宋体" w:cs="宋体"/>
          <w:color w:val="auto"/>
          <w:sz w:val="22"/>
          <w:szCs w:val="22"/>
          <w:highlight w:val="none"/>
        </w:rPr>
      </w:pPr>
    </w:p>
    <w:p w14:paraId="52F411B2">
      <w:pPr>
        <w:shd w:val="clear" w:color="auto" w:fill="auto"/>
        <w:spacing w:line="460" w:lineRule="exact"/>
        <w:rPr>
          <w:rFonts w:hint="eastAsia" w:ascii="宋体" w:hAnsi="宋体" w:eastAsia="宋体" w:cs="宋体"/>
          <w:color w:val="auto"/>
          <w:sz w:val="22"/>
          <w:szCs w:val="22"/>
          <w:highlight w:val="none"/>
        </w:rPr>
      </w:pPr>
    </w:p>
    <w:p w14:paraId="7C8BA015">
      <w:pPr>
        <w:shd w:val="clear" w:color="auto" w:fill="auto"/>
        <w:spacing w:line="460" w:lineRule="exact"/>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附：法定代表人及授权代表的身份证正反面复印件</w:t>
      </w:r>
    </w:p>
    <w:p w14:paraId="35184682">
      <w:pPr>
        <w:widowControl/>
        <w:shd w:val="clear" w:color="auto" w:fill="auto"/>
        <w:jc w:val="left"/>
        <w:rPr>
          <w:rFonts w:hint="eastAsia" w:ascii="宋体" w:hAnsi="宋体" w:eastAsia="宋体" w:cs="宋体"/>
          <w:b/>
          <w:bCs/>
          <w:color w:val="auto"/>
          <w:sz w:val="22"/>
          <w:szCs w:val="22"/>
          <w:highlight w:val="none"/>
        </w:rPr>
      </w:pPr>
    </w:p>
    <w:p w14:paraId="618CD528">
      <w:pPr>
        <w:widowControl/>
        <w:shd w:val="clear" w:color="auto" w:fill="auto"/>
        <w:jc w:val="left"/>
        <w:rPr>
          <w:rFonts w:hint="eastAsia" w:ascii="宋体" w:hAnsi="宋体" w:eastAsia="宋体" w:cs="宋体"/>
          <w:b/>
          <w:bCs/>
          <w:color w:val="auto"/>
          <w:sz w:val="22"/>
          <w:szCs w:val="22"/>
          <w:highlight w:val="none"/>
        </w:rPr>
      </w:pPr>
    </w:p>
    <w:p w14:paraId="51FF5173">
      <w:pPr>
        <w:widowControl/>
        <w:shd w:val="clear" w:color="auto" w:fill="auto"/>
        <w:jc w:val="left"/>
        <w:rPr>
          <w:rFonts w:hint="eastAsia" w:ascii="宋体" w:hAnsi="宋体" w:eastAsia="宋体" w:cs="宋体"/>
          <w:b/>
          <w:bCs/>
          <w:color w:val="auto"/>
          <w:sz w:val="22"/>
          <w:szCs w:val="22"/>
          <w:highlight w:val="none"/>
        </w:rPr>
      </w:pPr>
    </w:p>
    <w:p w14:paraId="46DC17FC">
      <w:pPr>
        <w:widowControl/>
        <w:shd w:val="clear" w:color="auto" w:fill="auto"/>
        <w:jc w:val="left"/>
        <w:rPr>
          <w:rFonts w:hint="eastAsia" w:ascii="宋体" w:hAnsi="宋体" w:eastAsia="宋体" w:cs="宋体"/>
          <w:b/>
          <w:bCs/>
          <w:color w:val="auto"/>
          <w:sz w:val="22"/>
          <w:szCs w:val="22"/>
          <w:highlight w:val="none"/>
        </w:rPr>
      </w:pPr>
    </w:p>
    <w:p w14:paraId="58F16C49">
      <w:pPr>
        <w:widowControl/>
        <w:shd w:val="clear" w:color="auto" w:fill="auto"/>
        <w:jc w:val="left"/>
        <w:rPr>
          <w:rFonts w:hint="eastAsia" w:ascii="宋体" w:hAnsi="宋体" w:eastAsia="宋体" w:cs="宋体"/>
          <w:b/>
          <w:bCs/>
          <w:color w:val="auto"/>
          <w:sz w:val="22"/>
          <w:szCs w:val="22"/>
          <w:highlight w:val="none"/>
        </w:rPr>
      </w:pPr>
    </w:p>
    <w:p w14:paraId="0B2798B8">
      <w:pPr>
        <w:widowControl/>
        <w:shd w:val="clear" w:color="auto" w:fill="auto"/>
        <w:jc w:val="left"/>
        <w:rPr>
          <w:rFonts w:hint="eastAsia" w:ascii="宋体" w:hAnsi="宋体" w:eastAsia="宋体" w:cs="宋体"/>
          <w:b/>
          <w:bCs/>
          <w:color w:val="auto"/>
          <w:sz w:val="22"/>
          <w:szCs w:val="22"/>
          <w:highlight w:val="none"/>
        </w:rPr>
      </w:pPr>
    </w:p>
    <w:p w14:paraId="3999251F">
      <w:pPr>
        <w:widowControl/>
        <w:shd w:val="clear" w:color="auto" w:fill="auto"/>
        <w:jc w:val="left"/>
        <w:rPr>
          <w:rFonts w:hint="eastAsia" w:ascii="宋体" w:hAnsi="宋体" w:eastAsia="宋体" w:cs="宋体"/>
          <w:b/>
          <w:bCs/>
          <w:color w:val="auto"/>
          <w:sz w:val="22"/>
          <w:szCs w:val="22"/>
          <w:highlight w:val="none"/>
        </w:rPr>
      </w:pPr>
    </w:p>
    <w:p w14:paraId="1372730F">
      <w:pPr>
        <w:widowControl/>
        <w:shd w:val="clear" w:color="auto" w:fill="auto"/>
        <w:jc w:val="left"/>
        <w:rPr>
          <w:rFonts w:hint="eastAsia" w:ascii="宋体" w:hAnsi="宋体" w:eastAsia="宋体" w:cs="宋体"/>
          <w:b/>
          <w:bCs/>
          <w:color w:val="auto"/>
          <w:sz w:val="22"/>
          <w:szCs w:val="22"/>
          <w:highlight w:val="none"/>
        </w:rPr>
      </w:pPr>
    </w:p>
    <w:p w14:paraId="629296D1">
      <w:pPr>
        <w:shd w:val="clear" w:color="auto" w:fill="auto"/>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w:t>
      </w:r>
    </w:p>
    <w:p w14:paraId="17FC4C32">
      <w:pPr>
        <w:shd w:val="clear" w:color="auto" w:fill="auto"/>
        <w:spacing w:line="460" w:lineRule="exact"/>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1、若投标人代表为法定代表人，应提供声明书（1）-1并提交法定代表人身份证正反面复印件；</w:t>
      </w:r>
    </w:p>
    <w:p w14:paraId="0853D058">
      <w:pPr>
        <w:shd w:val="clear" w:color="auto" w:fill="auto"/>
        <w:spacing w:line="460" w:lineRule="exac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2、若投标人代表为法定代表人授权的委托代理人，应提供授权书（1）-2，并附法定代表人及授权代表的身份证正反面复印件。</w:t>
      </w:r>
    </w:p>
    <w:p w14:paraId="12B3F6AC">
      <w:pPr>
        <w:pStyle w:val="12"/>
        <w:shd w:val="clear" w:color="auto" w:fill="auto"/>
        <w:rPr>
          <w:rFonts w:hint="eastAsia" w:ascii="宋体" w:hAnsi="宋体" w:eastAsia="宋体" w:cs="宋体"/>
          <w:color w:val="auto"/>
          <w:highlight w:val="none"/>
        </w:rPr>
      </w:pPr>
    </w:p>
    <w:p w14:paraId="1EF88D16">
      <w:pPr>
        <w:pStyle w:val="13"/>
        <w:shd w:val="clear" w:color="auto" w:fill="auto"/>
        <w:ind w:firstLine="210"/>
        <w:rPr>
          <w:rFonts w:hint="eastAsia" w:ascii="宋体" w:hAnsi="宋体" w:eastAsia="宋体" w:cs="宋体"/>
          <w:color w:val="auto"/>
          <w:highlight w:val="none"/>
        </w:rPr>
      </w:pPr>
    </w:p>
    <w:p w14:paraId="7D4AE8C1">
      <w:pPr>
        <w:pStyle w:val="26"/>
        <w:shd w:val="clear" w:color="auto" w:fill="auto"/>
        <w:rPr>
          <w:rFonts w:hint="eastAsia" w:ascii="宋体" w:hAnsi="宋体" w:eastAsia="宋体" w:cs="宋体"/>
          <w:color w:val="auto"/>
          <w:highlight w:val="none"/>
        </w:rPr>
      </w:pPr>
    </w:p>
    <w:p w14:paraId="66703249">
      <w:pPr>
        <w:shd w:val="clear" w:color="auto" w:fill="auto"/>
        <w:rPr>
          <w:rFonts w:hint="eastAsia" w:ascii="宋体" w:hAnsi="宋体" w:eastAsia="宋体" w:cs="宋体"/>
          <w:color w:val="auto"/>
          <w:highlight w:val="none"/>
        </w:rPr>
      </w:pPr>
    </w:p>
    <w:p w14:paraId="01397618">
      <w:pPr>
        <w:pStyle w:val="12"/>
        <w:shd w:val="clear" w:color="auto" w:fill="auto"/>
        <w:rPr>
          <w:rFonts w:hint="eastAsia" w:ascii="宋体" w:hAnsi="宋体" w:eastAsia="宋体" w:cs="宋体"/>
          <w:color w:val="auto"/>
          <w:highlight w:val="none"/>
        </w:rPr>
      </w:pPr>
    </w:p>
    <w:p w14:paraId="6DAD1D79">
      <w:pPr>
        <w:shd w:val="clear" w:color="auto" w:fill="auto"/>
        <w:spacing w:line="380" w:lineRule="exact"/>
        <w:jc w:val="center"/>
        <w:rPr>
          <w:rFonts w:hint="eastAsia" w:ascii="宋体" w:hAnsi="宋体" w:eastAsia="宋体" w:cs="宋体"/>
          <w:b/>
          <w:bCs/>
          <w:color w:val="auto"/>
          <w:sz w:val="22"/>
          <w:szCs w:val="22"/>
          <w:highlight w:val="none"/>
        </w:rPr>
      </w:pPr>
      <w:r>
        <w:rPr>
          <w:rFonts w:hint="eastAsia" w:ascii="宋体" w:hAnsi="宋体" w:eastAsia="宋体" w:cs="宋体"/>
          <w:b/>
          <w:color w:val="auto"/>
          <w:sz w:val="22"/>
          <w:szCs w:val="22"/>
          <w:highlight w:val="none"/>
        </w:rPr>
        <w:br w:type="page"/>
      </w:r>
      <w:r>
        <w:rPr>
          <w:rFonts w:hint="eastAsia" w:ascii="宋体" w:hAnsi="宋体" w:eastAsia="宋体" w:cs="宋体"/>
          <w:b/>
          <w:color w:val="auto"/>
          <w:sz w:val="22"/>
          <w:szCs w:val="22"/>
          <w:highlight w:val="none"/>
        </w:rPr>
        <w:t>（2）</w:t>
      </w:r>
      <w:r>
        <w:rPr>
          <w:rFonts w:hint="eastAsia" w:ascii="宋体" w:hAnsi="宋体" w:eastAsia="宋体" w:cs="宋体"/>
          <w:b/>
          <w:bCs/>
          <w:color w:val="auto"/>
          <w:sz w:val="22"/>
          <w:szCs w:val="22"/>
          <w:highlight w:val="none"/>
        </w:rPr>
        <w:t>营业执照(或事业法人登记证书或其它工商等登记证明材料)</w:t>
      </w:r>
    </w:p>
    <w:p w14:paraId="5D658431">
      <w:pPr>
        <w:pStyle w:val="13"/>
        <w:shd w:val="clear" w:color="auto" w:fill="auto"/>
        <w:ind w:firstLine="220"/>
        <w:rPr>
          <w:rFonts w:hint="eastAsia" w:ascii="宋体" w:hAnsi="宋体" w:eastAsia="宋体" w:cs="宋体"/>
          <w:color w:val="auto"/>
          <w:sz w:val="22"/>
          <w:szCs w:val="22"/>
          <w:highlight w:val="none"/>
        </w:rPr>
      </w:pPr>
    </w:p>
    <w:p w14:paraId="19DBB45D">
      <w:pPr>
        <w:shd w:val="clear" w:color="auto" w:fill="auto"/>
        <w:spacing w:line="4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说明：</w:t>
      </w:r>
    </w:p>
    <w:p w14:paraId="37021C34">
      <w:pPr>
        <w:shd w:val="clear" w:color="auto" w:fill="auto"/>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5BA0B67A">
      <w:pPr>
        <w:shd w:val="clear" w:color="auto" w:fill="auto"/>
        <w:spacing w:line="3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2、投标人提供的相应证明材料复印件均应符合：内容完整、清晰、整洁，并由投标人加盖其单位公章。</w:t>
      </w:r>
    </w:p>
    <w:p w14:paraId="6788D501">
      <w:pPr>
        <w:shd w:val="clear" w:color="auto" w:fill="auto"/>
        <w:spacing w:line="3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41113FF5">
      <w:pPr>
        <w:pStyle w:val="13"/>
        <w:shd w:val="clear" w:color="auto" w:fill="auto"/>
        <w:ind w:firstLine="0" w:firstLineChars="0"/>
        <w:rPr>
          <w:rFonts w:hint="eastAsia" w:ascii="宋体" w:hAnsi="宋体" w:eastAsia="宋体" w:cs="宋体"/>
          <w:color w:val="auto"/>
          <w:sz w:val="22"/>
          <w:szCs w:val="22"/>
          <w:highlight w:val="none"/>
        </w:rPr>
      </w:pPr>
    </w:p>
    <w:p w14:paraId="45550DF5">
      <w:pPr>
        <w:shd w:val="clear" w:color="auto" w:fill="auto"/>
        <w:spacing w:line="380" w:lineRule="exact"/>
        <w:rPr>
          <w:rFonts w:hint="eastAsia" w:ascii="宋体" w:hAnsi="宋体" w:eastAsia="宋体" w:cs="宋体"/>
          <w:b/>
          <w:bCs/>
          <w:color w:val="auto"/>
          <w:sz w:val="22"/>
          <w:szCs w:val="22"/>
          <w:highlight w:val="none"/>
        </w:rPr>
      </w:pPr>
    </w:p>
    <w:p w14:paraId="660DA275">
      <w:pPr>
        <w:pStyle w:val="13"/>
        <w:shd w:val="clear" w:color="auto" w:fill="auto"/>
        <w:ind w:firstLine="220"/>
        <w:rPr>
          <w:rFonts w:hint="eastAsia" w:ascii="宋体" w:hAnsi="宋体" w:eastAsia="宋体" w:cs="宋体"/>
          <w:color w:val="auto"/>
          <w:sz w:val="22"/>
          <w:szCs w:val="22"/>
          <w:highlight w:val="none"/>
        </w:rPr>
      </w:pPr>
    </w:p>
    <w:p w14:paraId="79E41DD6">
      <w:pPr>
        <w:pStyle w:val="13"/>
        <w:shd w:val="clear" w:color="auto" w:fill="auto"/>
        <w:ind w:firstLine="220"/>
        <w:rPr>
          <w:rFonts w:hint="eastAsia" w:ascii="宋体" w:hAnsi="宋体" w:eastAsia="宋体" w:cs="宋体"/>
          <w:color w:val="auto"/>
          <w:sz w:val="22"/>
          <w:szCs w:val="22"/>
          <w:highlight w:val="none"/>
        </w:rPr>
      </w:pPr>
    </w:p>
    <w:p w14:paraId="065C32D6">
      <w:pPr>
        <w:pStyle w:val="13"/>
        <w:shd w:val="clear" w:color="auto" w:fill="auto"/>
        <w:ind w:firstLine="220"/>
        <w:rPr>
          <w:rFonts w:hint="eastAsia" w:ascii="宋体" w:hAnsi="宋体" w:eastAsia="宋体" w:cs="宋体"/>
          <w:color w:val="auto"/>
          <w:sz w:val="22"/>
          <w:szCs w:val="22"/>
          <w:highlight w:val="none"/>
        </w:rPr>
      </w:pPr>
    </w:p>
    <w:p w14:paraId="3B1B1E75">
      <w:pPr>
        <w:shd w:val="clear" w:color="auto" w:fill="auto"/>
        <w:tabs>
          <w:tab w:val="left" w:pos="795"/>
          <w:tab w:val="center" w:pos="4873"/>
        </w:tabs>
        <w:overflowPunct w:val="0"/>
        <w:spacing w:line="44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br w:type="page"/>
      </w:r>
      <w:r>
        <w:rPr>
          <w:rFonts w:hint="eastAsia" w:ascii="宋体" w:hAnsi="宋体" w:eastAsia="宋体" w:cs="宋体"/>
          <w:b/>
          <w:bCs/>
          <w:color w:val="auto"/>
          <w:sz w:val="22"/>
          <w:szCs w:val="22"/>
          <w:highlight w:val="none"/>
        </w:rPr>
        <w:t>（3）投标供应商参与国企采购活动投标资格声明函</w:t>
      </w:r>
    </w:p>
    <w:p w14:paraId="657920E6">
      <w:pPr>
        <w:widowControl/>
        <w:shd w:val="clear" w:color="auto" w:fill="auto"/>
        <w:adjustRightInd w:val="0"/>
        <w:snapToGrid w:val="0"/>
        <w:spacing w:line="440" w:lineRule="exact"/>
        <w:jc w:val="left"/>
        <w:rPr>
          <w:rFonts w:hint="eastAsia" w:ascii="宋体" w:hAnsi="宋体" w:eastAsia="宋体" w:cs="宋体"/>
          <w:color w:val="auto"/>
          <w:sz w:val="22"/>
          <w:szCs w:val="22"/>
          <w:highlight w:val="none"/>
        </w:rPr>
      </w:pPr>
    </w:p>
    <w:p w14:paraId="26D80525">
      <w:pPr>
        <w:widowControl/>
        <w:shd w:val="clear" w:color="auto" w:fill="auto"/>
        <w:adjustRightInd w:val="0"/>
        <w:snapToGrid w:val="0"/>
        <w:spacing w:line="440" w:lineRule="exact"/>
        <w:jc w:val="left"/>
        <w:rPr>
          <w:rFonts w:hint="eastAsia" w:ascii="宋体" w:hAnsi="宋体" w:eastAsia="宋体" w:cs="宋体"/>
          <w:color w:val="auto"/>
          <w:kern w:val="0"/>
          <w:sz w:val="22"/>
          <w:szCs w:val="22"/>
          <w:highlight w:val="none"/>
        </w:rPr>
      </w:pPr>
      <w:r>
        <w:rPr>
          <w:rFonts w:hint="eastAsia" w:ascii="宋体" w:hAnsi="宋体" w:cs="宋体"/>
          <w:color w:val="auto"/>
          <w:sz w:val="22"/>
          <w:szCs w:val="22"/>
          <w:highlight w:val="none"/>
          <w:lang w:eastAsia="zh-CN"/>
        </w:rPr>
        <w:t>温州交运集团泰顺有限公司</w:t>
      </w:r>
      <w:r>
        <w:rPr>
          <w:rFonts w:hint="eastAsia" w:ascii="宋体" w:hAnsi="宋体" w:eastAsia="宋体" w:cs="宋体"/>
          <w:color w:val="auto"/>
          <w:kern w:val="0"/>
          <w:sz w:val="22"/>
          <w:szCs w:val="22"/>
          <w:highlight w:val="none"/>
        </w:rPr>
        <w:t>：</w:t>
      </w:r>
    </w:p>
    <w:p w14:paraId="27374789">
      <w:pPr>
        <w:widowControl/>
        <w:shd w:val="clear" w:color="auto" w:fill="auto"/>
        <w:adjustRightInd w:val="0"/>
        <w:snapToGrid w:val="0"/>
        <w:spacing w:line="44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eastAsia="zh-CN"/>
        </w:rPr>
        <w:t>浙江林鸥工程管理有限公司</w:t>
      </w:r>
      <w:r>
        <w:rPr>
          <w:rFonts w:hint="eastAsia" w:ascii="宋体" w:hAnsi="宋体" w:eastAsia="宋体" w:cs="宋体"/>
          <w:color w:val="auto"/>
          <w:kern w:val="0"/>
          <w:sz w:val="22"/>
          <w:szCs w:val="22"/>
          <w:highlight w:val="none"/>
        </w:rPr>
        <w:t>：</w:t>
      </w:r>
    </w:p>
    <w:p w14:paraId="5EDD064A">
      <w:pPr>
        <w:widowControl/>
        <w:shd w:val="clear" w:color="auto" w:fill="auto"/>
        <w:adjustRightInd w:val="0"/>
        <w:snapToGrid w:val="0"/>
        <w:spacing w:line="360" w:lineRule="auto"/>
        <w:ind w:firstLine="440" w:firstLineChars="200"/>
        <w:jc w:val="left"/>
        <w:rPr>
          <w:rFonts w:hint="eastAsia" w:ascii="宋体" w:cs="宋体"/>
          <w:color w:val="auto"/>
          <w:kern w:val="0"/>
          <w:sz w:val="22"/>
          <w:szCs w:val="22"/>
          <w:highlight w:val="none"/>
        </w:rPr>
      </w:pPr>
      <w:r>
        <w:rPr>
          <w:rFonts w:hint="eastAsia" w:ascii="宋体" w:cs="宋体"/>
          <w:color w:val="auto"/>
          <w:kern w:val="0"/>
          <w:sz w:val="22"/>
          <w:szCs w:val="22"/>
          <w:highlight w:val="none"/>
        </w:rPr>
        <w:t>我单位参与</w:t>
      </w:r>
      <w:r>
        <w:rPr>
          <w:rFonts w:hint="eastAsia" w:ascii="宋体"/>
          <w:color w:val="auto"/>
          <w:sz w:val="22"/>
          <w:szCs w:val="22"/>
          <w:highlight w:val="none"/>
          <w:u w:val="single"/>
        </w:rPr>
        <w:t xml:space="preserve">（项目名称） </w:t>
      </w:r>
      <w:r>
        <w:rPr>
          <w:rFonts w:hint="eastAsia" w:ascii="宋体" w:cs="宋体"/>
          <w:color w:val="auto"/>
          <w:kern w:val="0"/>
          <w:sz w:val="22"/>
          <w:szCs w:val="22"/>
          <w:highlight w:val="none"/>
        </w:rPr>
        <w:t>项目的采购活动，现声明如下：</w:t>
      </w:r>
    </w:p>
    <w:p w14:paraId="36C956A8">
      <w:pPr>
        <w:widowControl/>
        <w:shd w:val="clear" w:color="auto" w:fill="auto"/>
        <w:adjustRightInd w:val="0"/>
        <w:snapToGrid w:val="0"/>
        <w:spacing w:line="360" w:lineRule="auto"/>
        <w:ind w:left="216" w:leftChars="103" w:firstLine="200" w:firstLineChars="91"/>
        <w:jc w:val="left"/>
        <w:rPr>
          <w:rFonts w:hint="eastAsia" w:ascii="宋体" w:cs="宋体"/>
          <w:color w:val="auto"/>
          <w:kern w:val="0"/>
          <w:sz w:val="22"/>
          <w:szCs w:val="22"/>
          <w:highlight w:val="none"/>
        </w:rPr>
      </w:pPr>
      <w:r>
        <w:rPr>
          <w:rFonts w:hint="eastAsia" w:ascii="宋体" w:cs="宋体"/>
          <w:color w:val="auto"/>
          <w:kern w:val="0"/>
          <w:sz w:val="22"/>
          <w:szCs w:val="22"/>
          <w:highlight w:val="none"/>
        </w:rPr>
        <w:t>1、我单位具有独立承担民事责任的能力。</w:t>
      </w:r>
    </w:p>
    <w:p w14:paraId="587130FC">
      <w:pPr>
        <w:widowControl/>
        <w:shd w:val="clear" w:color="auto" w:fill="auto"/>
        <w:adjustRightInd w:val="0"/>
        <w:snapToGrid w:val="0"/>
        <w:spacing w:line="360" w:lineRule="auto"/>
        <w:ind w:left="216" w:leftChars="103" w:firstLine="200" w:firstLineChars="91"/>
        <w:jc w:val="left"/>
        <w:rPr>
          <w:rFonts w:hint="eastAsia" w:ascii="宋体" w:cs="宋体"/>
          <w:color w:val="auto"/>
          <w:kern w:val="0"/>
          <w:sz w:val="22"/>
          <w:szCs w:val="22"/>
          <w:highlight w:val="none"/>
        </w:rPr>
      </w:pPr>
      <w:r>
        <w:rPr>
          <w:rFonts w:hint="eastAsia" w:ascii="宋体" w:cs="宋体"/>
          <w:color w:val="auto"/>
          <w:kern w:val="0"/>
          <w:sz w:val="22"/>
          <w:szCs w:val="22"/>
          <w:highlight w:val="none"/>
        </w:rPr>
        <w:t>2、我单位具有良好的商业信誉和健全的财务会计制度。</w:t>
      </w:r>
    </w:p>
    <w:p w14:paraId="6B31F367">
      <w:pPr>
        <w:widowControl/>
        <w:shd w:val="clear" w:color="auto" w:fill="auto"/>
        <w:adjustRightInd w:val="0"/>
        <w:snapToGrid w:val="0"/>
        <w:spacing w:line="360" w:lineRule="auto"/>
        <w:ind w:left="216" w:leftChars="103" w:firstLine="200" w:firstLineChars="91"/>
        <w:jc w:val="left"/>
        <w:rPr>
          <w:rFonts w:hint="eastAsia" w:ascii="宋体" w:cs="宋体"/>
          <w:color w:val="auto"/>
          <w:kern w:val="0"/>
          <w:sz w:val="22"/>
          <w:szCs w:val="22"/>
          <w:highlight w:val="none"/>
        </w:rPr>
      </w:pPr>
      <w:r>
        <w:rPr>
          <w:rFonts w:hint="eastAsia" w:ascii="宋体" w:cs="宋体"/>
          <w:color w:val="auto"/>
          <w:kern w:val="0"/>
          <w:sz w:val="22"/>
          <w:szCs w:val="22"/>
          <w:highlight w:val="none"/>
        </w:rPr>
        <w:t>3、我单位具有依法缴纳税收和社会保障资金的良好记录。</w:t>
      </w:r>
    </w:p>
    <w:p w14:paraId="10627915">
      <w:pPr>
        <w:widowControl/>
        <w:shd w:val="clear" w:color="auto" w:fill="auto"/>
        <w:adjustRightInd w:val="0"/>
        <w:snapToGrid w:val="0"/>
        <w:spacing w:line="360" w:lineRule="auto"/>
        <w:ind w:left="216" w:leftChars="103" w:firstLine="200" w:firstLineChars="91"/>
        <w:jc w:val="left"/>
        <w:rPr>
          <w:rFonts w:hint="eastAsia" w:ascii="宋体" w:cs="宋体"/>
          <w:color w:val="auto"/>
          <w:kern w:val="0"/>
          <w:sz w:val="22"/>
          <w:szCs w:val="22"/>
          <w:highlight w:val="none"/>
        </w:rPr>
      </w:pPr>
      <w:r>
        <w:rPr>
          <w:rFonts w:hint="eastAsia" w:ascii="宋体" w:cs="宋体"/>
          <w:color w:val="auto"/>
          <w:kern w:val="0"/>
          <w:sz w:val="22"/>
          <w:szCs w:val="22"/>
          <w:highlight w:val="none"/>
        </w:rPr>
        <w:t>4、我单位具有履行本项目国企采购合同所必需的设备和专业技术能力。</w:t>
      </w:r>
    </w:p>
    <w:p w14:paraId="3586FD80">
      <w:pPr>
        <w:widowControl/>
        <w:shd w:val="clear" w:color="auto" w:fill="auto"/>
        <w:adjustRightInd w:val="0"/>
        <w:snapToGrid w:val="0"/>
        <w:spacing w:line="360" w:lineRule="auto"/>
        <w:ind w:left="216" w:leftChars="103" w:firstLine="200" w:firstLineChars="91"/>
        <w:jc w:val="left"/>
        <w:rPr>
          <w:rFonts w:hint="eastAsia" w:ascii="宋体" w:cs="宋体"/>
          <w:color w:val="auto"/>
          <w:kern w:val="0"/>
          <w:sz w:val="22"/>
          <w:szCs w:val="22"/>
          <w:highlight w:val="none"/>
        </w:rPr>
      </w:pPr>
      <w:r>
        <w:rPr>
          <w:rFonts w:hint="eastAsia" w:ascii="宋体" w:cs="宋体"/>
          <w:color w:val="auto"/>
          <w:kern w:val="0"/>
          <w:sz w:val="22"/>
          <w:szCs w:val="22"/>
          <w:highlight w:val="none"/>
        </w:rPr>
        <w:t>5、我单位未被列入失信被执行人名单、重大税收违法案件当事人名单、采购严重违法失信行为记录名单，参加本次国企采购活动前3年内在经营活动中没有重大违法记录（没有因违法经营受到刑事处罚，没有被责令停产停业、被吊销许可证或者执照、被处以较大数额罚款等行政处罚，没有因违法经营被禁止参加采购活动的期限未满情形）。</w:t>
      </w:r>
    </w:p>
    <w:p w14:paraId="317218D9">
      <w:pPr>
        <w:widowControl/>
        <w:shd w:val="clear" w:color="auto" w:fill="auto"/>
        <w:adjustRightInd w:val="0"/>
        <w:snapToGrid w:val="0"/>
        <w:spacing w:line="360" w:lineRule="auto"/>
        <w:ind w:left="216" w:leftChars="103" w:firstLine="200" w:firstLineChars="91"/>
        <w:jc w:val="left"/>
        <w:rPr>
          <w:rFonts w:hint="eastAsia" w:ascii="宋体" w:cs="宋体"/>
          <w:color w:val="auto"/>
          <w:kern w:val="0"/>
          <w:sz w:val="22"/>
          <w:szCs w:val="22"/>
          <w:highlight w:val="none"/>
        </w:rPr>
      </w:pPr>
      <w:r>
        <w:rPr>
          <w:rFonts w:hint="eastAsia" w:ascii="宋体" w:cs="宋体"/>
          <w:color w:val="auto"/>
          <w:kern w:val="0"/>
          <w:sz w:val="22"/>
          <w:szCs w:val="22"/>
          <w:highlight w:val="none"/>
        </w:rPr>
        <w:t>6、我单位未与单位负责人为同一人或者存在直接控股、管理关系的其他供应商，一起参加本项目的国企采购活动。</w:t>
      </w:r>
    </w:p>
    <w:p w14:paraId="517C90D3">
      <w:pPr>
        <w:widowControl/>
        <w:shd w:val="clear" w:color="auto" w:fill="auto"/>
        <w:adjustRightInd w:val="0"/>
        <w:snapToGrid w:val="0"/>
        <w:spacing w:line="360" w:lineRule="auto"/>
        <w:ind w:left="216" w:leftChars="103" w:firstLine="200" w:firstLineChars="91"/>
        <w:jc w:val="left"/>
        <w:rPr>
          <w:rFonts w:hint="eastAsia" w:ascii="宋体" w:cs="宋体"/>
          <w:color w:val="auto"/>
          <w:kern w:val="0"/>
          <w:sz w:val="22"/>
          <w:szCs w:val="22"/>
          <w:highlight w:val="none"/>
        </w:rPr>
      </w:pPr>
      <w:r>
        <w:rPr>
          <w:rFonts w:hint="eastAsia" w:ascii="宋体" w:cs="宋体"/>
          <w:color w:val="auto"/>
          <w:kern w:val="0"/>
          <w:sz w:val="22"/>
          <w:szCs w:val="22"/>
          <w:highlight w:val="none"/>
        </w:rPr>
        <w:t>7、我单位符合本项目特定资格条件：</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 xml:space="preserve"> 的要求，并在投标文件中提供了相应的证明材料（采购文件没有要求特定资格条件的，本条款空格处可以空白）</w:t>
      </w:r>
    </w:p>
    <w:p w14:paraId="2556E3BA">
      <w:pPr>
        <w:widowControl/>
        <w:shd w:val="clear" w:color="auto" w:fill="auto"/>
        <w:adjustRightInd w:val="0"/>
        <w:snapToGrid w:val="0"/>
        <w:spacing w:line="360" w:lineRule="auto"/>
        <w:ind w:firstLine="440" w:firstLineChars="200"/>
        <w:jc w:val="left"/>
        <w:rPr>
          <w:rFonts w:hint="eastAsia" w:ascii="宋体" w:cs="宋体"/>
          <w:color w:val="auto"/>
          <w:kern w:val="0"/>
          <w:sz w:val="22"/>
          <w:szCs w:val="22"/>
          <w:highlight w:val="none"/>
        </w:rPr>
      </w:pPr>
      <w:r>
        <w:rPr>
          <w:rFonts w:hint="eastAsia" w:ascii="宋体" w:cs="宋体"/>
          <w:color w:val="auto"/>
          <w:kern w:val="0"/>
          <w:sz w:val="22"/>
          <w:szCs w:val="22"/>
          <w:highlight w:val="none"/>
        </w:rPr>
        <w:t>以上事项如有虚假，采购人可取消我方任何资格（投标/中标/签订合同），我方对此无任何异议。</w:t>
      </w:r>
    </w:p>
    <w:p w14:paraId="4F092E10">
      <w:pPr>
        <w:widowControl/>
        <w:shd w:val="clear" w:color="auto" w:fill="auto"/>
        <w:adjustRightInd w:val="0"/>
        <w:snapToGrid w:val="0"/>
        <w:spacing w:line="360" w:lineRule="auto"/>
        <w:ind w:firstLine="440" w:firstLineChars="200"/>
        <w:jc w:val="left"/>
        <w:rPr>
          <w:rFonts w:hint="eastAsia" w:ascii="宋体" w:cs="宋体"/>
          <w:color w:val="auto"/>
          <w:kern w:val="0"/>
          <w:sz w:val="22"/>
          <w:szCs w:val="22"/>
          <w:highlight w:val="none"/>
        </w:rPr>
      </w:pPr>
    </w:p>
    <w:p w14:paraId="3C563537">
      <w:pPr>
        <w:widowControl/>
        <w:shd w:val="clear" w:color="auto" w:fill="auto"/>
        <w:adjustRightInd w:val="0"/>
        <w:snapToGrid w:val="0"/>
        <w:spacing w:line="360" w:lineRule="auto"/>
        <w:ind w:firstLine="440" w:firstLineChars="200"/>
        <w:jc w:val="left"/>
        <w:rPr>
          <w:rFonts w:hint="eastAsia" w:ascii="宋体" w:cs="宋体"/>
          <w:color w:val="auto"/>
          <w:kern w:val="0"/>
          <w:sz w:val="22"/>
          <w:szCs w:val="22"/>
          <w:highlight w:val="none"/>
        </w:rPr>
      </w:pPr>
      <w:r>
        <w:rPr>
          <w:rFonts w:hint="eastAsia" w:ascii="宋体" w:cs="宋体"/>
          <w:color w:val="auto"/>
          <w:kern w:val="0"/>
          <w:sz w:val="22"/>
          <w:szCs w:val="22"/>
          <w:highlight w:val="none"/>
        </w:rPr>
        <w:t>特此承诺！</w:t>
      </w:r>
    </w:p>
    <w:p w14:paraId="1669A68C">
      <w:pPr>
        <w:widowControl/>
        <w:shd w:val="clear" w:color="auto" w:fill="auto"/>
        <w:adjustRightInd w:val="0"/>
        <w:snapToGrid w:val="0"/>
        <w:spacing w:line="360" w:lineRule="auto"/>
        <w:ind w:firstLine="440" w:firstLineChars="200"/>
        <w:jc w:val="left"/>
        <w:rPr>
          <w:rFonts w:hint="eastAsia" w:ascii="宋体" w:cs="新宋体"/>
          <w:color w:val="auto"/>
          <w:kern w:val="0"/>
          <w:sz w:val="22"/>
          <w:szCs w:val="22"/>
          <w:highlight w:val="none"/>
        </w:rPr>
      </w:pPr>
    </w:p>
    <w:p w14:paraId="1CC45F60">
      <w:pPr>
        <w:pStyle w:val="12"/>
        <w:shd w:val="clear" w:color="auto" w:fill="auto"/>
        <w:rPr>
          <w:color w:val="auto"/>
          <w:highlight w:val="none"/>
        </w:rPr>
      </w:pPr>
    </w:p>
    <w:p w14:paraId="6213AC5C">
      <w:pPr>
        <w:widowControl/>
        <w:shd w:val="clear" w:color="auto" w:fill="auto"/>
        <w:adjustRightInd w:val="0"/>
        <w:snapToGrid w:val="0"/>
        <w:spacing w:line="440" w:lineRule="exact"/>
        <w:ind w:firstLine="440" w:firstLineChars="200"/>
        <w:jc w:val="left"/>
        <w:rPr>
          <w:rFonts w:hint="eastAsia" w:ascii="宋体" w:cs="Arial"/>
          <w:color w:val="auto"/>
          <w:kern w:val="0"/>
          <w:sz w:val="22"/>
          <w:szCs w:val="22"/>
          <w:highlight w:val="none"/>
        </w:rPr>
      </w:pPr>
      <w:r>
        <w:rPr>
          <w:rFonts w:hint="eastAsia" w:ascii="宋体" w:cs="Arial"/>
          <w:color w:val="auto"/>
          <w:kern w:val="0"/>
          <w:sz w:val="22"/>
          <w:szCs w:val="22"/>
          <w:highlight w:val="none"/>
        </w:rPr>
        <w:t>投标人名称（盖章） ：</w:t>
      </w:r>
    </w:p>
    <w:p w14:paraId="32CACF47">
      <w:pPr>
        <w:widowControl/>
        <w:shd w:val="clear" w:color="auto" w:fill="auto"/>
        <w:adjustRightInd w:val="0"/>
        <w:snapToGrid w:val="0"/>
        <w:spacing w:line="440" w:lineRule="exact"/>
        <w:ind w:firstLine="440" w:firstLineChars="200"/>
        <w:jc w:val="left"/>
        <w:rPr>
          <w:rFonts w:hint="eastAsia" w:ascii="宋体" w:cs="Arial"/>
          <w:color w:val="auto"/>
          <w:kern w:val="0"/>
          <w:sz w:val="22"/>
          <w:szCs w:val="22"/>
          <w:highlight w:val="none"/>
        </w:rPr>
      </w:pPr>
      <w:r>
        <w:rPr>
          <w:rFonts w:hint="eastAsia" w:ascii="宋体" w:cs="Arial"/>
          <w:color w:val="auto"/>
          <w:kern w:val="0"/>
          <w:sz w:val="22"/>
          <w:szCs w:val="22"/>
          <w:highlight w:val="none"/>
        </w:rPr>
        <w:t>法定代表人（负责人）或其授权代表（签字或盖章）：</w:t>
      </w:r>
    </w:p>
    <w:p w14:paraId="06525DB5">
      <w:pPr>
        <w:widowControl/>
        <w:shd w:val="clear" w:color="auto" w:fill="auto"/>
        <w:adjustRightInd w:val="0"/>
        <w:snapToGrid w:val="0"/>
        <w:spacing w:line="440" w:lineRule="exact"/>
        <w:ind w:firstLine="440" w:firstLineChars="200"/>
        <w:jc w:val="left"/>
        <w:rPr>
          <w:rFonts w:hint="eastAsia" w:ascii="宋体" w:cs="Arial"/>
          <w:color w:val="auto"/>
          <w:kern w:val="0"/>
          <w:sz w:val="22"/>
          <w:szCs w:val="22"/>
          <w:highlight w:val="none"/>
        </w:rPr>
      </w:pPr>
      <w:r>
        <w:rPr>
          <w:rFonts w:hint="eastAsia" w:ascii="宋体" w:cs="Arial"/>
          <w:color w:val="auto"/>
          <w:kern w:val="0"/>
          <w:sz w:val="22"/>
          <w:szCs w:val="22"/>
          <w:highlight w:val="none"/>
        </w:rPr>
        <w:t>日期：     年  月  日</w:t>
      </w:r>
    </w:p>
    <w:p w14:paraId="4FB0E359">
      <w:pPr>
        <w:shd w:val="clear" w:color="auto" w:fill="auto"/>
        <w:spacing w:line="380" w:lineRule="exact"/>
        <w:rPr>
          <w:rFonts w:hint="eastAsia" w:ascii="宋体" w:hAnsi="宋体" w:eastAsia="宋体" w:cs="宋体"/>
          <w:b/>
          <w:color w:val="auto"/>
          <w:sz w:val="22"/>
          <w:szCs w:val="22"/>
          <w:highlight w:val="none"/>
        </w:rPr>
      </w:pPr>
    </w:p>
    <w:p w14:paraId="05B84AE9">
      <w:pPr>
        <w:pStyle w:val="13"/>
        <w:shd w:val="clear" w:color="auto" w:fill="auto"/>
        <w:spacing w:line="360" w:lineRule="exact"/>
        <w:ind w:firstLine="0" w:firstLineChars="0"/>
        <w:rPr>
          <w:rFonts w:hint="eastAsia" w:ascii="宋体" w:hAnsi="宋体" w:eastAsia="宋体" w:cs="宋体"/>
          <w:b/>
          <w:bCs/>
          <w:color w:val="auto"/>
          <w:sz w:val="22"/>
          <w:szCs w:val="22"/>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22"/>
          <w:szCs w:val="22"/>
          <w:highlight w:val="none"/>
        </w:rPr>
        <w:t xml:space="preserve">附件二 </w:t>
      </w:r>
    </w:p>
    <w:p w14:paraId="327C6130">
      <w:pPr>
        <w:shd w:val="clear" w:color="auto" w:fill="auto"/>
        <w:spacing w:line="360" w:lineRule="exact"/>
        <w:ind w:firstLine="437"/>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 标 函</w:t>
      </w:r>
    </w:p>
    <w:p w14:paraId="35ECA417">
      <w:pPr>
        <w:shd w:val="clear" w:color="auto" w:fill="auto"/>
        <w:spacing w:line="360" w:lineRule="exact"/>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温州交运集团泰顺有限公司</w:t>
      </w:r>
      <w:r>
        <w:rPr>
          <w:rFonts w:hint="eastAsia" w:ascii="宋体" w:hAnsi="宋体" w:eastAsia="宋体" w:cs="宋体"/>
          <w:color w:val="auto"/>
          <w:sz w:val="22"/>
          <w:szCs w:val="22"/>
          <w:highlight w:val="none"/>
        </w:rPr>
        <w:t>：</w:t>
      </w:r>
    </w:p>
    <w:p w14:paraId="712386E5">
      <w:pPr>
        <w:shd w:val="clear" w:color="auto" w:fill="auto"/>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浙江林鸥工程管理有限公司</w:t>
      </w:r>
      <w:r>
        <w:rPr>
          <w:rFonts w:hint="eastAsia" w:ascii="宋体" w:hAnsi="宋体" w:eastAsia="宋体" w:cs="宋体"/>
          <w:color w:val="auto"/>
          <w:sz w:val="22"/>
          <w:szCs w:val="22"/>
          <w:highlight w:val="none"/>
        </w:rPr>
        <w:t>：</w:t>
      </w:r>
    </w:p>
    <w:p w14:paraId="7E775F20">
      <w:pPr>
        <w:shd w:val="clear" w:color="auto" w:fill="auto"/>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根据贵单位为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项目（项目编号：</w:t>
      </w:r>
      <w:r>
        <w:rPr>
          <w:rFonts w:hint="eastAsia" w:ascii="宋体" w:hAnsi="宋体" w:eastAsia="宋体" w:cs="宋体"/>
          <w:b/>
          <w:color w:val="auto"/>
          <w:sz w:val="22"/>
          <w:szCs w:val="22"/>
          <w:highlight w:val="none"/>
          <w:u w:val="single"/>
        </w:rPr>
        <w:t xml:space="preserve">            </w:t>
      </w:r>
      <w:r>
        <w:rPr>
          <w:rFonts w:hint="eastAsia" w:ascii="宋体" w:hAnsi="宋体" w:eastAsia="宋体" w:cs="宋体"/>
          <w:b/>
          <w:color w:val="auto"/>
          <w:sz w:val="22"/>
          <w:szCs w:val="22"/>
          <w:highlight w:val="none"/>
        </w:rPr>
        <w:t xml:space="preserve"> </w:t>
      </w:r>
      <w:r>
        <w:rPr>
          <w:rFonts w:hint="eastAsia" w:ascii="宋体" w:hAnsi="宋体" w:eastAsia="宋体" w:cs="宋体"/>
          <w:color w:val="auto"/>
          <w:sz w:val="22"/>
          <w:szCs w:val="22"/>
          <w:highlight w:val="none"/>
        </w:rPr>
        <w:t>）的投标邀请，我方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（投标人名称）作为投标人正式授权</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（授权代表全名，职务）代表我方处理有关本投标的一切事宜。</w:t>
      </w:r>
    </w:p>
    <w:p w14:paraId="40A7C78B">
      <w:pPr>
        <w:pStyle w:val="2"/>
        <w:shd w:val="clear" w:color="auto" w:fill="auto"/>
        <w:spacing w:line="360" w:lineRule="exact"/>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在此提交的投标文件中，包括如下内容：</w:t>
      </w:r>
    </w:p>
    <w:p w14:paraId="0A8ACDAB">
      <w:pPr>
        <w:shd w:val="clear" w:color="auto" w:fill="auto"/>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1、按“投标人须知”要求编制的投标文件资格文件【正本一份，副本五份】；</w:t>
      </w:r>
    </w:p>
    <w:p w14:paraId="6A74F8D7">
      <w:pPr>
        <w:shd w:val="clear" w:color="auto" w:fill="auto"/>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2、按“投标人须知”要求编制的投标文件商务技术文件【正本一份，副本五份】；</w:t>
      </w:r>
    </w:p>
    <w:p w14:paraId="7146D800">
      <w:pPr>
        <w:shd w:val="clear" w:color="auto" w:fill="auto"/>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3、按“投标人须知”要求编制的投标文件报价文件【正本一份，副本五份】；</w:t>
      </w:r>
    </w:p>
    <w:p w14:paraId="38042469">
      <w:pPr>
        <w:shd w:val="clear" w:color="auto" w:fill="auto"/>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我方己完全明白采购文件的所有条款要求，并重申以下几点：</w:t>
      </w:r>
    </w:p>
    <w:p w14:paraId="2B7B8FDE">
      <w:pPr>
        <w:shd w:val="clear" w:color="auto" w:fill="auto"/>
        <w:spacing w:line="360" w:lineRule="exact"/>
        <w:ind w:left="1019" w:leftChars="171" w:hanging="660" w:hanging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（一）本投标文件的有效期自投标截止日起</w:t>
      </w:r>
      <w:r>
        <w:rPr>
          <w:rFonts w:hint="eastAsia" w:ascii="宋体" w:hAnsi="宋体" w:eastAsia="宋体" w:cs="宋体"/>
          <w:b/>
          <w:color w:val="auto"/>
          <w:sz w:val="22"/>
          <w:szCs w:val="22"/>
          <w:highlight w:val="none"/>
        </w:rPr>
        <w:t xml:space="preserve"> </w:t>
      </w:r>
      <w:r>
        <w:rPr>
          <w:rFonts w:hint="eastAsia" w:ascii="宋体" w:hAnsi="宋体" w:eastAsia="宋体" w:cs="宋体"/>
          <w:b/>
          <w:color w:val="auto"/>
          <w:sz w:val="22"/>
          <w:szCs w:val="22"/>
          <w:highlight w:val="none"/>
          <w:u w:val="single"/>
        </w:rPr>
        <w:t xml:space="preserve"> 90 </w:t>
      </w:r>
      <w:r>
        <w:rPr>
          <w:rFonts w:hint="eastAsia" w:ascii="宋体" w:hAnsi="宋体" w:eastAsia="宋体" w:cs="宋体"/>
          <w:b/>
          <w:color w:val="auto"/>
          <w:sz w:val="22"/>
          <w:szCs w:val="22"/>
          <w:highlight w:val="none"/>
        </w:rPr>
        <w:t>天内</w:t>
      </w:r>
      <w:r>
        <w:rPr>
          <w:rFonts w:hint="eastAsia" w:ascii="宋体" w:hAnsi="宋体" w:eastAsia="宋体" w:cs="宋体"/>
          <w:color w:val="auto"/>
          <w:sz w:val="22"/>
          <w:szCs w:val="22"/>
          <w:highlight w:val="none"/>
        </w:rPr>
        <w:t>有效，如中标，有效期将延至合同终止日为止；</w:t>
      </w:r>
    </w:p>
    <w:p w14:paraId="7FE4D357">
      <w:pPr>
        <w:shd w:val="clear" w:color="auto" w:fill="auto"/>
        <w:spacing w:line="360" w:lineRule="exact"/>
        <w:ind w:left="1019" w:leftChars="171" w:hanging="660" w:hanging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（二）我方已详细研究了采购文件的所有内容包括修改书（如有）和所有已提供的参考资料以及有关附件，我方完全理解并同意放弃在此方面提出含糊意见或误解的一切权力；</w:t>
      </w:r>
    </w:p>
    <w:p w14:paraId="1C76B8DB">
      <w:pPr>
        <w:shd w:val="clear" w:color="auto" w:fill="auto"/>
        <w:spacing w:line="360" w:lineRule="exact"/>
        <w:ind w:left="1019" w:leftChars="171" w:hanging="660" w:hanging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（三）我方明白并愿意在规定的开标时间之后，投标人在投标有效期内撤回投标，其投标保证金将被贵方没收；</w:t>
      </w:r>
    </w:p>
    <w:p w14:paraId="71367A60">
      <w:pPr>
        <w:shd w:val="clear" w:color="auto" w:fill="auto"/>
        <w:spacing w:line="360" w:lineRule="exact"/>
        <w:ind w:left="359" w:leftChars="17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（四）我方同意提供按照贵方可能要求的与投标有关的一切数据或资料；</w:t>
      </w:r>
    </w:p>
    <w:p w14:paraId="7A53A76E">
      <w:pPr>
        <w:shd w:val="clear" w:color="auto" w:fill="auto"/>
        <w:spacing w:line="360" w:lineRule="exact"/>
        <w:ind w:left="359" w:leftChars="17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（五）我方理解贵方不一定接受最低报价。</w:t>
      </w:r>
    </w:p>
    <w:p w14:paraId="7CF472B4">
      <w:pPr>
        <w:shd w:val="clear" w:color="auto" w:fill="auto"/>
        <w:spacing w:line="360" w:lineRule="exact"/>
        <w:ind w:left="1019" w:leftChars="171" w:hanging="660" w:hanging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（六）我方如果中标，将保证履行采购文件以及采购文件修改书（如有）中的全部责任和义务，按质、按量、按期完成《协议书》中的全部任务。</w:t>
      </w:r>
    </w:p>
    <w:p w14:paraId="109AFCD0">
      <w:pPr>
        <w:shd w:val="clear" w:color="auto" w:fill="auto"/>
        <w:spacing w:line="360" w:lineRule="exact"/>
        <w:ind w:left="31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（七）所有与本投标有关的函件请发往下列地址：</w:t>
      </w:r>
    </w:p>
    <w:p w14:paraId="2657FDBB">
      <w:pPr>
        <w:shd w:val="clear" w:color="auto" w:fill="auto"/>
        <w:spacing w:line="360" w:lineRule="exact"/>
        <w:ind w:firstLine="43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地址：</w:t>
      </w:r>
      <w:r>
        <w:rPr>
          <w:rFonts w:hint="eastAsia" w:ascii="宋体" w:hAnsi="宋体" w:eastAsia="宋体" w:cs="宋体"/>
          <w:color w:val="auto"/>
          <w:sz w:val="22"/>
          <w:szCs w:val="22"/>
          <w:highlight w:val="none"/>
          <w:u w:val="single"/>
        </w:rPr>
        <w:t xml:space="preserve">                           </w:t>
      </w:r>
    </w:p>
    <w:p w14:paraId="7DAECA35">
      <w:pPr>
        <w:shd w:val="clear" w:color="auto" w:fill="auto"/>
        <w:spacing w:line="360" w:lineRule="exact"/>
        <w:ind w:firstLine="43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电话：</w:t>
      </w:r>
      <w:r>
        <w:rPr>
          <w:rFonts w:hint="eastAsia" w:ascii="宋体" w:hAnsi="宋体" w:eastAsia="宋体" w:cs="宋体"/>
          <w:color w:val="auto"/>
          <w:sz w:val="22"/>
          <w:szCs w:val="22"/>
          <w:highlight w:val="none"/>
          <w:u w:val="single"/>
        </w:rPr>
        <w:t xml:space="preserve">                           </w:t>
      </w:r>
    </w:p>
    <w:p w14:paraId="3E1D2871">
      <w:pPr>
        <w:shd w:val="clear" w:color="auto" w:fill="auto"/>
        <w:spacing w:line="360" w:lineRule="exact"/>
        <w:ind w:firstLine="435"/>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 xml:space="preserve">   传真：</w:t>
      </w:r>
      <w:r>
        <w:rPr>
          <w:rFonts w:hint="eastAsia" w:ascii="宋体" w:hAnsi="宋体" w:eastAsia="宋体" w:cs="宋体"/>
          <w:color w:val="auto"/>
          <w:sz w:val="22"/>
          <w:szCs w:val="22"/>
          <w:highlight w:val="none"/>
          <w:u w:val="single"/>
        </w:rPr>
        <w:t xml:space="preserve">                           </w:t>
      </w:r>
    </w:p>
    <w:p w14:paraId="1EE29C03">
      <w:pPr>
        <w:shd w:val="clear" w:color="auto" w:fill="auto"/>
        <w:spacing w:line="360" w:lineRule="exact"/>
        <w:ind w:firstLine="770" w:firstLineChars="35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电子邮件：</w:t>
      </w:r>
      <w:r>
        <w:rPr>
          <w:rFonts w:hint="eastAsia" w:ascii="宋体" w:hAnsi="宋体" w:eastAsia="宋体" w:cs="宋体"/>
          <w:color w:val="auto"/>
          <w:sz w:val="22"/>
          <w:szCs w:val="22"/>
          <w:highlight w:val="none"/>
          <w:u w:val="single"/>
        </w:rPr>
        <w:t xml:space="preserve">                       </w:t>
      </w:r>
    </w:p>
    <w:p w14:paraId="4B02A3D4">
      <w:pPr>
        <w:shd w:val="clear" w:color="auto" w:fill="auto"/>
        <w:spacing w:line="360" w:lineRule="exact"/>
        <w:ind w:firstLine="435"/>
        <w:rPr>
          <w:rFonts w:hint="eastAsia" w:ascii="宋体" w:hAnsi="宋体" w:eastAsia="宋体" w:cs="宋体"/>
          <w:color w:val="auto"/>
          <w:sz w:val="22"/>
          <w:szCs w:val="22"/>
          <w:highlight w:val="none"/>
        </w:rPr>
      </w:pPr>
    </w:p>
    <w:p w14:paraId="7E66ABCF">
      <w:pPr>
        <w:shd w:val="clear" w:color="auto" w:fill="auto"/>
        <w:spacing w:line="360" w:lineRule="exact"/>
        <w:ind w:firstLine="4400" w:firstLineChars="2000"/>
        <w:rPr>
          <w:rFonts w:hint="eastAsia" w:ascii="宋体" w:hAnsi="宋体" w:eastAsia="宋体" w:cs="宋体"/>
          <w:color w:val="auto"/>
          <w:sz w:val="22"/>
          <w:szCs w:val="22"/>
          <w:highlight w:val="none"/>
        </w:rPr>
      </w:pPr>
    </w:p>
    <w:p w14:paraId="59E364D5">
      <w:pPr>
        <w:shd w:val="clear" w:color="auto" w:fill="auto"/>
        <w:spacing w:line="3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投标人名称（盖章）：</w:t>
      </w:r>
    </w:p>
    <w:p w14:paraId="69833839">
      <w:pPr>
        <w:shd w:val="clear" w:color="auto" w:fill="auto"/>
        <w:spacing w:line="3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14:paraId="0D44DA3D">
      <w:pPr>
        <w:shd w:val="clear" w:color="auto" w:fill="auto"/>
        <w:spacing w:line="3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  年   月   日</w:t>
      </w:r>
    </w:p>
    <w:p w14:paraId="7E5C5D90">
      <w:pPr>
        <w:shd w:val="clear" w:color="auto" w:fill="auto"/>
        <w:spacing w:line="360" w:lineRule="exact"/>
        <w:jc w:val="center"/>
        <w:rPr>
          <w:rFonts w:hint="eastAsia" w:ascii="宋体" w:hAnsi="宋体" w:eastAsia="宋体" w:cs="宋体"/>
          <w:color w:val="auto"/>
          <w:sz w:val="22"/>
          <w:szCs w:val="22"/>
          <w:highlight w:val="none"/>
        </w:rPr>
      </w:pPr>
    </w:p>
    <w:p w14:paraId="764E4170">
      <w:pPr>
        <w:shd w:val="clear" w:color="auto" w:fill="auto"/>
        <w:spacing w:line="360" w:lineRule="exact"/>
        <w:jc w:val="lef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br w:type="page"/>
      </w:r>
      <w:r>
        <w:rPr>
          <w:rFonts w:hint="eastAsia" w:ascii="宋体" w:hAnsi="宋体" w:eastAsia="宋体" w:cs="宋体"/>
          <w:b/>
          <w:bCs/>
          <w:color w:val="auto"/>
          <w:sz w:val="22"/>
          <w:szCs w:val="22"/>
          <w:highlight w:val="none"/>
        </w:rPr>
        <w:t>附件三</w:t>
      </w:r>
    </w:p>
    <w:p w14:paraId="00EAE5FF">
      <w:pPr>
        <w:shd w:val="clear" w:color="auto" w:fill="auto"/>
        <w:spacing w:line="36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开标一览表</w:t>
      </w:r>
    </w:p>
    <w:p w14:paraId="54296CA9">
      <w:pPr>
        <w:pStyle w:val="2"/>
        <w:shd w:val="clear" w:color="auto" w:fill="auto"/>
        <w:spacing w:line="360" w:lineRule="exact"/>
        <w:ind w:firstLine="316" w:firstLineChars="15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项目名称：                               项目编号：    </w:t>
      </w:r>
    </w:p>
    <w:tbl>
      <w:tblPr>
        <w:tblStyle w:val="33"/>
        <w:tblW w:w="4999" w:type="pct"/>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autofit"/>
        <w:tblCellMar>
          <w:top w:w="0" w:type="dxa"/>
          <w:left w:w="108" w:type="dxa"/>
          <w:bottom w:w="0" w:type="dxa"/>
          <w:right w:w="108" w:type="dxa"/>
        </w:tblCellMar>
      </w:tblPr>
      <w:tblGrid>
        <w:gridCol w:w="3299"/>
        <w:gridCol w:w="6553"/>
      </w:tblGrid>
      <w:tr w14:paraId="0FDF2F0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478" w:hRule="atLeast"/>
        </w:trPr>
        <w:tc>
          <w:tcPr>
            <w:tcW w:w="1674" w:type="pct"/>
            <w:noWrap w:val="0"/>
            <w:vAlign w:val="center"/>
          </w:tcPr>
          <w:p w14:paraId="6D64810D">
            <w:pPr>
              <w:shd w:val="clear" w:color="auto" w:fill="auto"/>
              <w:autoSpaceDE w:val="0"/>
              <w:autoSpaceDN w:val="0"/>
              <w:adjustRightInd w:val="0"/>
              <w:snapToGrid w:val="0"/>
              <w:spacing w:before="120" w:line="360" w:lineRule="exact"/>
              <w:jc w:val="center"/>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3325" w:type="pct"/>
            <w:tcBorders>
              <w:left w:val="single" w:color="auto" w:sz="4" w:space="0"/>
              <w:right w:val="single" w:color="auto" w:sz="4" w:space="0"/>
            </w:tcBorders>
            <w:noWrap w:val="0"/>
            <w:vAlign w:val="center"/>
          </w:tcPr>
          <w:p w14:paraId="4B011950">
            <w:pPr>
              <w:shd w:val="clear" w:color="auto" w:fill="auto"/>
              <w:autoSpaceDE w:val="0"/>
              <w:autoSpaceDN w:val="0"/>
              <w:adjustRightInd w:val="0"/>
              <w:snapToGrid w:val="0"/>
              <w:spacing w:before="120" w:line="360" w:lineRule="exact"/>
              <w:jc w:val="center"/>
              <w:textAlignment w:val="bottom"/>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投标报价（</w:t>
            </w:r>
            <w:r>
              <w:rPr>
                <w:rFonts w:hint="eastAsia" w:ascii="宋体" w:hAnsi="宋体" w:eastAsia="宋体" w:cs="宋体"/>
                <w:color w:val="auto"/>
                <w:spacing w:val="-1"/>
                <w:sz w:val="22"/>
                <w:szCs w:val="22"/>
                <w:highlight w:val="none"/>
              </w:rPr>
              <w:t>元</w:t>
            </w:r>
            <w:r>
              <w:rPr>
                <w:rFonts w:hint="eastAsia" w:ascii="宋体" w:hAnsi="宋体" w:eastAsia="宋体" w:cs="宋体"/>
                <w:color w:val="auto"/>
                <w:sz w:val="22"/>
                <w:szCs w:val="22"/>
                <w:highlight w:val="none"/>
              </w:rPr>
              <w:t>）</w:t>
            </w:r>
          </w:p>
        </w:tc>
      </w:tr>
      <w:tr w14:paraId="4BDF0FA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2475" w:hRule="atLeast"/>
        </w:trPr>
        <w:tc>
          <w:tcPr>
            <w:tcW w:w="1674" w:type="pct"/>
            <w:noWrap w:val="0"/>
            <w:vAlign w:val="center"/>
          </w:tcPr>
          <w:p w14:paraId="02259A9D">
            <w:pPr>
              <w:shd w:val="clear" w:color="auto" w:fill="auto"/>
              <w:autoSpaceDE w:val="0"/>
              <w:autoSpaceDN w:val="0"/>
              <w:adjustRightInd w:val="0"/>
              <w:snapToGrid w:val="0"/>
              <w:spacing w:before="120" w:line="360" w:lineRule="exact"/>
              <w:jc w:val="center"/>
              <w:textAlignment w:val="bottom"/>
              <w:rPr>
                <w:rFonts w:hint="eastAsia" w:ascii="宋体" w:hAnsi="宋体" w:eastAsia="宋体" w:cs="宋体"/>
                <w:bCs/>
                <w:color w:val="auto"/>
                <w:sz w:val="22"/>
                <w:szCs w:val="22"/>
                <w:highlight w:val="none"/>
                <w:lang w:eastAsia="zh-CN"/>
              </w:rPr>
            </w:pPr>
            <w:r>
              <w:rPr>
                <w:rFonts w:hint="eastAsia" w:ascii="宋体" w:hAnsi="宋体" w:cs="宋体"/>
                <w:bCs/>
                <w:color w:val="auto"/>
                <w:sz w:val="22"/>
                <w:szCs w:val="22"/>
                <w:highlight w:val="none"/>
                <w:lang w:eastAsia="zh-CN"/>
              </w:rPr>
              <w:t>气象预警服务平台项目研发</w:t>
            </w:r>
          </w:p>
        </w:tc>
        <w:tc>
          <w:tcPr>
            <w:tcW w:w="3325" w:type="pct"/>
            <w:tcBorders>
              <w:left w:val="single" w:color="auto" w:sz="4" w:space="0"/>
              <w:right w:val="single" w:color="auto" w:sz="4" w:space="0"/>
            </w:tcBorders>
            <w:noWrap w:val="0"/>
            <w:vAlign w:val="center"/>
          </w:tcPr>
          <w:p w14:paraId="3EA7C18E">
            <w:pPr>
              <w:shd w:val="clear" w:color="auto" w:fill="auto"/>
              <w:autoSpaceDE w:val="0"/>
              <w:autoSpaceDN w:val="0"/>
              <w:adjustRightInd w:val="0"/>
              <w:snapToGrid w:val="0"/>
              <w:spacing w:before="120" w:line="360" w:lineRule="exact"/>
              <w:ind w:left="766" w:leftChars="365"/>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大写：</w:t>
            </w:r>
            <w:r>
              <w:rPr>
                <w:rFonts w:hint="eastAsia" w:ascii="宋体" w:hAnsi="宋体" w:eastAsia="宋体" w:cs="宋体"/>
                <w:color w:val="auto"/>
                <w:sz w:val="22"/>
                <w:szCs w:val="22"/>
                <w:highlight w:val="none"/>
                <w:u w:val="single"/>
              </w:rPr>
              <w:t xml:space="preserve">             </w:t>
            </w:r>
          </w:p>
          <w:p w14:paraId="1E3493B7">
            <w:pPr>
              <w:shd w:val="clear" w:color="auto" w:fill="auto"/>
              <w:autoSpaceDE w:val="0"/>
              <w:autoSpaceDN w:val="0"/>
              <w:adjustRightInd w:val="0"/>
              <w:snapToGrid w:val="0"/>
              <w:spacing w:before="120" w:line="360" w:lineRule="exact"/>
              <w:ind w:left="766" w:leftChars="365"/>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小写：</w:t>
            </w:r>
            <w:r>
              <w:rPr>
                <w:rFonts w:hint="eastAsia" w:ascii="宋体" w:hAnsi="宋体" w:eastAsia="宋体" w:cs="宋体"/>
                <w:color w:val="auto"/>
                <w:sz w:val="22"/>
                <w:szCs w:val="22"/>
                <w:highlight w:val="none"/>
                <w:u w:val="single"/>
              </w:rPr>
              <w:t xml:space="preserve">             </w:t>
            </w:r>
          </w:p>
        </w:tc>
      </w:tr>
    </w:tbl>
    <w:p w14:paraId="1A60DE7E">
      <w:pPr>
        <w:shd w:val="clear" w:color="auto" w:fill="auto"/>
        <w:spacing w:line="3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说明：</w:t>
      </w:r>
    </w:p>
    <w:p w14:paraId="650F8256">
      <w:pPr>
        <w:shd w:val="clear" w:color="auto" w:fill="auto"/>
        <w:tabs>
          <w:tab w:val="left" w:pos="-180"/>
          <w:tab w:val="left" w:pos="180"/>
          <w:tab w:val="left" w:pos="360"/>
          <w:tab w:val="left" w:pos="1680"/>
        </w:tabs>
        <w:spacing w:line="360" w:lineRule="exact"/>
        <w:ind w:firstLine="442" w:firstLineChars="200"/>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u w:val="single"/>
        </w:rPr>
        <w:t>不提供此表格将被视为没有实质性响应采购文件,作无效标处理。</w:t>
      </w:r>
    </w:p>
    <w:p w14:paraId="61FAB06F">
      <w:pPr>
        <w:shd w:val="clear" w:color="auto" w:fill="auto"/>
        <w:tabs>
          <w:tab w:val="left" w:pos="-180"/>
          <w:tab w:val="left" w:pos="180"/>
          <w:tab w:val="left" w:pos="360"/>
          <w:tab w:val="left" w:pos="1680"/>
        </w:tabs>
        <w:spacing w:line="36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2.本表的投标报价应与附件</w:t>
      </w:r>
      <w:r>
        <w:rPr>
          <w:rFonts w:hint="eastAsia" w:ascii="宋体" w:hAnsi="宋体" w:eastAsia="宋体" w:cs="宋体"/>
          <w:b/>
          <w:color w:val="auto"/>
          <w:sz w:val="22"/>
          <w:szCs w:val="22"/>
          <w:highlight w:val="none"/>
          <w:lang w:val="en-US" w:eastAsia="zh-CN"/>
        </w:rPr>
        <w:t>四</w:t>
      </w:r>
      <w:r>
        <w:rPr>
          <w:rFonts w:hint="eastAsia" w:ascii="宋体" w:hAnsi="宋体" w:eastAsia="宋体" w:cs="宋体"/>
          <w:b/>
          <w:color w:val="auto"/>
          <w:sz w:val="22"/>
          <w:szCs w:val="22"/>
          <w:highlight w:val="none"/>
        </w:rPr>
        <w:t>“投标分项报价表”内的</w:t>
      </w:r>
      <w:r>
        <w:rPr>
          <w:rFonts w:hint="eastAsia" w:ascii="宋体" w:hAnsi="宋体" w:cs="宋体"/>
          <w:b/>
          <w:color w:val="auto"/>
          <w:sz w:val="22"/>
          <w:szCs w:val="22"/>
          <w:highlight w:val="none"/>
          <w:lang w:val="en-US" w:eastAsia="zh-CN"/>
        </w:rPr>
        <w:t>总计</w:t>
      </w:r>
      <w:r>
        <w:rPr>
          <w:rFonts w:hint="eastAsia" w:ascii="宋体" w:hAnsi="宋体" w:eastAsia="宋体" w:cs="宋体"/>
          <w:b/>
          <w:color w:val="auto"/>
          <w:sz w:val="22"/>
          <w:szCs w:val="22"/>
          <w:highlight w:val="none"/>
        </w:rPr>
        <w:t>相一致。</w:t>
      </w:r>
    </w:p>
    <w:p w14:paraId="0184DB96">
      <w:pPr>
        <w:shd w:val="clear" w:color="auto" w:fill="auto"/>
        <w:tabs>
          <w:tab w:val="left" w:pos="-180"/>
          <w:tab w:val="left" w:pos="180"/>
          <w:tab w:val="left" w:pos="360"/>
        </w:tabs>
        <w:spacing w:line="360" w:lineRule="exact"/>
        <w:ind w:left="426"/>
        <w:rPr>
          <w:rFonts w:hint="eastAsia" w:ascii="宋体" w:hAnsi="宋体" w:eastAsia="宋体" w:cs="宋体"/>
          <w:b/>
          <w:color w:val="auto"/>
          <w:sz w:val="22"/>
          <w:szCs w:val="22"/>
          <w:highlight w:val="none"/>
          <w:u w:val="single"/>
        </w:rPr>
      </w:pPr>
    </w:p>
    <w:p w14:paraId="3D521D88">
      <w:pPr>
        <w:shd w:val="clear" w:color="auto" w:fill="auto"/>
        <w:spacing w:line="360" w:lineRule="exact"/>
        <w:ind w:firstLine="4417" w:firstLineChars="2000"/>
        <w:rPr>
          <w:rFonts w:hint="eastAsia" w:ascii="宋体" w:hAnsi="宋体" w:eastAsia="宋体" w:cs="宋体"/>
          <w:b/>
          <w:bCs/>
          <w:color w:val="auto"/>
          <w:sz w:val="22"/>
          <w:szCs w:val="22"/>
          <w:highlight w:val="none"/>
        </w:rPr>
      </w:pPr>
    </w:p>
    <w:p w14:paraId="0FB9CF38">
      <w:pPr>
        <w:shd w:val="clear" w:color="auto" w:fill="auto"/>
        <w:spacing w:line="360" w:lineRule="exact"/>
        <w:ind w:firstLine="4417" w:firstLineChars="2000"/>
        <w:rPr>
          <w:rFonts w:hint="eastAsia" w:ascii="宋体" w:hAnsi="宋体" w:eastAsia="宋体" w:cs="宋体"/>
          <w:b/>
          <w:bCs/>
          <w:color w:val="auto"/>
          <w:sz w:val="22"/>
          <w:szCs w:val="22"/>
          <w:highlight w:val="none"/>
        </w:rPr>
      </w:pPr>
    </w:p>
    <w:p w14:paraId="62FB21DA">
      <w:pPr>
        <w:shd w:val="clear" w:color="auto" w:fill="auto"/>
        <w:spacing w:line="3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投标人名称（盖章）：</w:t>
      </w:r>
    </w:p>
    <w:p w14:paraId="463A4FBF">
      <w:pPr>
        <w:shd w:val="clear" w:color="auto" w:fill="auto"/>
        <w:spacing w:line="3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14:paraId="7EF791AB">
      <w:pPr>
        <w:shd w:val="clear" w:color="auto" w:fill="auto"/>
        <w:spacing w:line="3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  年   月   日</w:t>
      </w:r>
    </w:p>
    <w:p w14:paraId="5DACADB6">
      <w:pPr>
        <w:pStyle w:val="13"/>
        <w:shd w:val="clear" w:color="auto" w:fill="auto"/>
        <w:spacing w:line="360" w:lineRule="exact"/>
        <w:ind w:firstLine="210"/>
        <w:rPr>
          <w:rFonts w:hint="eastAsia" w:ascii="宋体" w:hAnsi="宋体" w:eastAsia="宋体" w:cs="宋体"/>
          <w:color w:val="auto"/>
          <w:highlight w:val="none"/>
        </w:rPr>
      </w:pPr>
    </w:p>
    <w:p w14:paraId="39C67853">
      <w:pPr>
        <w:pStyle w:val="4"/>
        <w:shd w:val="clear" w:color="auto" w:fill="auto"/>
        <w:spacing w:before="0" w:after="0" w:line="360" w:lineRule="exact"/>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bookmarkStart w:id="152" w:name="_Toc757"/>
      <w:bookmarkStart w:id="153" w:name="_Toc3689"/>
      <w:bookmarkStart w:id="154" w:name="_Toc86161085"/>
      <w:bookmarkStart w:id="155" w:name="_Toc90922392"/>
      <w:r>
        <w:rPr>
          <w:rFonts w:hint="eastAsia" w:ascii="宋体" w:hAnsi="宋体" w:eastAsia="宋体" w:cs="宋体"/>
          <w:bCs w:val="0"/>
          <w:color w:val="auto"/>
          <w:sz w:val="22"/>
          <w:szCs w:val="22"/>
          <w:highlight w:val="none"/>
        </w:rPr>
        <w:t>附件四</w:t>
      </w:r>
      <w:bookmarkEnd w:id="152"/>
      <w:bookmarkEnd w:id="153"/>
      <w:bookmarkEnd w:id="154"/>
      <w:bookmarkEnd w:id="155"/>
    </w:p>
    <w:p w14:paraId="059477EF">
      <w:pPr>
        <w:shd w:val="clear" w:color="auto" w:fill="auto"/>
        <w:spacing w:line="36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投标分项报价表</w:t>
      </w:r>
    </w:p>
    <w:p w14:paraId="644AD22F">
      <w:pPr>
        <w:shd w:val="clear" w:color="auto" w:fill="auto"/>
        <w:spacing w:line="36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项目名称： </w:t>
      </w: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rPr>
        <w:t xml:space="preserve"> 项目编号：</w:t>
      </w:r>
    </w:p>
    <w:tbl>
      <w:tblPr>
        <w:tblStyle w:val="33"/>
        <w:tblW w:w="500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704"/>
        <w:gridCol w:w="2309"/>
        <w:gridCol w:w="931"/>
        <w:gridCol w:w="1045"/>
        <w:gridCol w:w="931"/>
        <w:gridCol w:w="945"/>
        <w:gridCol w:w="1000"/>
      </w:tblGrid>
      <w:tr w14:paraId="2C3620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504" w:type="pct"/>
            <w:noWrap w:val="0"/>
            <w:vAlign w:val="center"/>
          </w:tcPr>
          <w:p w14:paraId="4788F890">
            <w:pPr>
              <w:adjustRightInd w:val="0"/>
              <w:snapToGrid w:val="0"/>
              <w:jc w:val="center"/>
              <w:rPr>
                <w:rFonts w:hAnsi="宋体" w:cs="宋体"/>
                <w:b/>
                <w:bCs/>
                <w:color w:val="auto"/>
                <w:szCs w:val="21"/>
                <w:highlight w:val="none"/>
              </w:rPr>
            </w:pPr>
            <w:r>
              <w:rPr>
                <w:rFonts w:hint="eastAsia" w:hAnsi="宋体" w:cs="宋体"/>
                <w:b/>
                <w:bCs/>
                <w:color w:val="auto"/>
                <w:szCs w:val="21"/>
                <w:highlight w:val="none"/>
              </w:rPr>
              <w:t>序号</w:t>
            </w:r>
          </w:p>
        </w:tc>
        <w:tc>
          <w:tcPr>
            <w:tcW w:w="864" w:type="pct"/>
            <w:noWrap w:val="0"/>
            <w:vAlign w:val="center"/>
          </w:tcPr>
          <w:p w14:paraId="2E70A528">
            <w:pPr>
              <w:adjustRightInd w:val="0"/>
              <w:snapToGrid w:val="0"/>
              <w:jc w:val="center"/>
              <w:rPr>
                <w:rFonts w:hAnsi="宋体" w:cs="宋体"/>
                <w:b/>
                <w:bCs/>
                <w:color w:val="auto"/>
                <w:szCs w:val="21"/>
                <w:highlight w:val="none"/>
              </w:rPr>
            </w:pPr>
            <w:r>
              <w:rPr>
                <w:rFonts w:hint="eastAsia" w:hAnsi="宋体" w:cs="宋体"/>
                <w:b/>
                <w:bCs/>
                <w:color w:val="auto"/>
                <w:szCs w:val="21"/>
                <w:highlight w:val="none"/>
              </w:rPr>
              <w:t>采购内容</w:t>
            </w:r>
          </w:p>
        </w:tc>
        <w:tc>
          <w:tcPr>
            <w:tcW w:w="1171" w:type="pct"/>
            <w:noWrap w:val="0"/>
            <w:vAlign w:val="center"/>
          </w:tcPr>
          <w:p w14:paraId="1FF8BDD3">
            <w:pPr>
              <w:adjustRightInd w:val="0"/>
              <w:snapToGrid w:val="0"/>
              <w:jc w:val="center"/>
              <w:rPr>
                <w:rFonts w:hAnsi="宋体" w:cs="宋体"/>
                <w:b/>
                <w:bCs/>
                <w:color w:val="auto"/>
                <w:szCs w:val="21"/>
                <w:highlight w:val="none"/>
              </w:rPr>
            </w:pPr>
            <w:r>
              <w:rPr>
                <w:rFonts w:hint="eastAsia" w:hAnsi="宋体" w:cs="宋体"/>
                <w:b/>
                <w:bCs/>
                <w:color w:val="auto"/>
                <w:szCs w:val="21"/>
                <w:highlight w:val="none"/>
              </w:rPr>
              <w:t>规格型号/产地</w:t>
            </w:r>
          </w:p>
        </w:tc>
        <w:tc>
          <w:tcPr>
            <w:tcW w:w="472" w:type="pct"/>
            <w:noWrap w:val="0"/>
            <w:vAlign w:val="center"/>
          </w:tcPr>
          <w:p w14:paraId="3C09951C">
            <w:pPr>
              <w:adjustRightInd w:val="0"/>
              <w:snapToGrid w:val="0"/>
              <w:jc w:val="center"/>
              <w:rPr>
                <w:rFonts w:hAnsi="宋体" w:cs="宋体"/>
                <w:b/>
                <w:bCs/>
                <w:color w:val="auto"/>
                <w:szCs w:val="21"/>
                <w:highlight w:val="none"/>
              </w:rPr>
            </w:pPr>
            <w:r>
              <w:rPr>
                <w:rFonts w:hint="eastAsia" w:hAnsi="宋体" w:cs="宋体"/>
                <w:b/>
                <w:bCs/>
                <w:color w:val="auto"/>
                <w:szCs w:val="21"/>
                <w:highlight w:val="none"/>
              </w:rPr>
              <w:t>单位</w:t>
            </w:r>
          </w:p>
        </w:tc>
        <w:tc>
          <w:tcPr>
            <w:tcW w:w="529" w:type="pct"/>
            <w:noWrap w:val="0"/>
            <w:vAlign w:val="center"/>
          </w:tcPr>
          <w:p w14:paraId="176E5F69">
            <w:pPr>
              <w:adjustRightInd w:val="0"/>
              <w:snapToGrid w:val="0"/>
              <w:jc w:val="center"/>
              <w:rPr>
                <w:rFonts w:hAnsi="宋体" w:cs="宋体"/>
                <w:b/>
                <w:bCs/>
                <w:color w:val="auto"/>
                <w:szCs w:val="21"/>
                <w:highlight w:val="none"/>
              </w:rPr>
            </w:pPr>
            <w:r>
              <w:rPr>
                <w:rFonts w:hint="eastAsia" w:hAnsi="宋体" w:cs="宋体"/>
                <w:b/>
                <w:bCs/>
                <w:color w:val="auto"/>
                <w:szCs w:val="21"/>
                <w:highlight w:val="none"/>
              </w:rPr>
              <w:t>数量</w:t>
            </w:r>
          </w:p>
        </w:tc>
        <w:tc>
          <w:tcPr>
            <w:tcW w:w="472" w:type="pct"/>
            <w:noWrap w:val="0"/>
            <w:vAlign w:val="center"/>
          </w:tcPr>
          <w:p w14:paraId="2B21EE91">
            <w:pPr>
              <w:adjustRightInd w:val="0"/>
              <w:snapToGrid w:val="0"/>
              <w:jc w:val="center"/>
              <w:rPr>
                <w:rFonts w:hAnsi="宋体" w:cs="宋体"/>
                <w:b/>
                <w:bCs/>
                <w:color w:val="auto"/>
                <w:szCs w:val="21"/>
                <w:highlight w:val="none"/>
              </w:rPr>
            </w:pPr>
            <w:r>
              <w:rPr>
                <w:rFonts w:hint="eastAsia" w:hAnsi="宋体" w:cs="宋体"/>
                <w:b/>
                <w:bCs/>
                <w:color w:val="auto"/>
                <w:szCs w:val="21"/>
                <w:highlight w:val="none"/>
              </w:rPr>
              <w:t>单价</w:t>
            </w:r>
          </w:p>
        </w:tc>
        <w:tc>
          <w:tcPr>
            <w:tcW w:w="479" w:type="pct"/>
            <w:noWrap w:val="0"/>
            <w:vAlign w:val="center"/>
          </w:tcPr>
          <w:p w14:paraId="42E76F86">
            <w:pPr>
              <w:adjustRightInd w:val="0"/>
              <w:snapToGrid w:val="0"/>
              <w:jc w:val="center"/>
              <w:rPr>
                <w:rFonts w:hint="eastAsia" w:hAnsi="宋体" w:eastAsia="宋体" w:cs="宋体"/>
                <w:b/>
                <w:bCs/>
                <w:color w:val="auto"/>
                <w:szCs w:val="21"/>
                <w:highlight w:val="none"/>
                <w:lang w:eastAsia="zh-CN"/>
              </w:rPr>
            </w:pPr>
            <w:r>
              <w:rPr>
                <w:rFonts w:hint="eastAsia" w:hAnsi="宋体" w:cs="宋体"/>
                <w:b/>
                <w:bCs/>
                <w:color w:val="auto"/>
                <w:szCs w:val="21"/>
                <w:highlight w:val="none"/>
                <w:lang w:val="en-US" w:eastAsia="zh-CN"/>
              </w:rPr>
              <w:t>合计</w:t>
            </w:r>
          </w:p>
        </w:tc>
        <w:tc>
          <w:tcPr>
            <w:tcW w:w="507" w:type="pct"/>
            <w:noWrap w:val="0"/>
            <w:vAlign w:val="center"/>
          </w:tcPr>
          <w:p w14:paraId="4A3C7F5B">
            <w:pPr>
              <w:adjustRightInd w:val="0"/>
              <w:snapToGrid w:val="0"/>
              <w:jc w:val="center"/>
              <w:rPr>
                <w:rFonts w:hAnsi="宋体" w:cs="宋体"/>
                <w:b/>
                <w:bCs/>
                <w:color w:val="auto"/>
                <w:szCs w:val="21"/>
                <w:highlight w:val="none"/>
              </w:rPr>
            </w:pPr>
            <w:r>
              <w:rPr>
                <w:rFonts w:hint="eastAsia" w:hAnsi="宋体" w:cs="宋体"/>
                <w:b/>
                <w:bCs/>
                <w:color w:val="auto"/>
                <w:szCs w:val="21"/>
                <w:highlight w:val="none"/>
              </w:rPr>
              <w:t>备注</w:t>
            </w:r>
          </w:p>
        </w:tc>
      </w:tr>
      <w:tr w14:paraId="55146B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04" w:type="pct"/>
            <w:noWrap w:val="0"/>
            <w:vAlign w:val="center"/>
          </w:tcPr>
          <w:p w14:paraId="2DE87D91">
            <w:pPr>
              <w:adjustRightInd w:val="0"/>
              <w:snapToGrid w:val="0"/>
              <w:jc w:val="center"/>
              <w:rPr>
                <w:rFonts w:hint="eastAsia" w:hAnsi="宋体" w:eastAsia="宋体" w:cs="宋体"/>
                <w:color w:val="auto"/>
                <w:szCs w:val="21"/>
                <w:highlight w:val="none"/>
                <w:lang w:val="en-US" w:eastAsia="zh-CN"/>
              </w:rPr>
            </w:pPr>
            <w:r>
              <w:rPr>
                <w:rFonts w:hint="eastAsia" w:hAnsi="宋体" w:cs="宋体"/>
                <w:color w:val="auto"/>
                <w:szCs w:val="21"/>
                <w:highlight w:val="none"/>
                <w:lang w:val="en-US" w:eastAsia="zh-CN"/>
              </w:rPr>
              <w:t>1</w:t>
            </w:r>
          </w:p>
        </w:tc>
        <w:tc>
          <w:tcPr>
            <w:tcW w:w="864" w:type="pct"/>
            <w:noWrap w:val="0"/>
            <w:vAlign w:val="center"/>
          </w:tcPr>
          <w:p w14:paraId="7153F20D">
            <w:pPr>
              <w:adjustRightInd w:val="0"/>
              <w:snapToGrid w:val="0"/>
              <w:jc w:val="center"/>
              <w:rPr>
                <w:rFonts w:hAnsi="宋体" w:cs="宋体"/>
                <w:color w:val="auto"/>
                <w:szCs w:val="21"/>
                <w:highlight w:val="none"/>
              </w:rPr>
            </w:pPr>
          </w:p>
        </w:tc>
        <w:tc>
          <w:tcPr>
            <w:tcW w:w="1171" w:type="pct"/>
            <w:noWrap w:val="0"/>
            <w:vAlign w:val="center"/>
          </w:tcPr>
          <w:p w14:paraId="7FB61E4C">
            <w:pPr>
              <w:adjustRightInd w:val="0"/>
              <w:snapToGrid w:val="0"/>
              <w:rPr>
                <w:rFonts w:hAnsi="宋体" w:cs="宋体"/>
                <w:color w:val="auto"/>
                <w:szCs w:val="21"/>
                <w:highlight w:val="none"/>
              </w:rPr>
            </w:pPr>
          </w:p>
        </w:tc>
        <w:tc>
          <w:tcPr>
            <w:tcW w:w="472" w:type="pct"/>
            <w:noWrap w:val="0"/>
            <w:vAlign w:val="center"/>
          </w:tcPr>
          <w:p w14:paraId="32493C24">
            <w:pPr>
              <w:adjustRightInd w:val="0"/>
              <w:snapToGrid w:val="0"/>
              <w:jc w:val="center"/>
              <w:rPr>
                <w:rFonts w:hAnsi="宋体" w:cs="宋体"/>
                <w:color w:val="auto"/>
                <w:szCs w:val="21"/>
                <w:highlight w:val="none"/>
              </w:rPr>
            </w:pPr>
          </w:p>
        </w:tc>
        <w:tc>
          <w:tcPr>
            <w:tcW w:w="529" w:type="pct"/>
            <w:noWrap w:val="0"/>
            <w:vAlign w:val="center"/>
          </w:tcPr>
          <w:p w14:paraId="7E89E799">
            <w:pPr>
              <w:adjustRightInd w:val="0"/>
              <w:snapToGrid w:val="0"/>
              <w:jc w:val="center"/>
              <w:rPr>
                <w:rFonts w:hAnsi="宋体" w:cs="宋体"/>
                <w:color w:val="auto"/>
                <w:sz w:val="18"/>
                <w:szCs w:val="18"/>
                <w:highlight w:val="none"/>
              </w:rPr>
            </w:pPr>
          </w:p>
        </w:tc>
        <w:tc>
          <w:tcPr>
            <w:tcW w:w="472" w:type="pct"/>
            <w:noWrap w:val="0"/>
            <w:vAlign w:val="center"/>
          </w:tcPr>
          <w:p w14:paraId="5D5664A8">
            <w:pPr>
              <w:adjustRightInd w:val="0"/>
              <w:snapToGrid w:val="0"/>
              <w:jc w:val="center"/>
              <w:rPr>
                <w:rFonts w:hAnsi="宋体" w:cs="宋体"/>
                <w:color w:val="auto"/>
                <w:sz w:val="18"/>
                <w:szCs w:val="18"/>
                <w:highlight w:val="none"/>
              </w:rPr>
            </w:pPr>
          </w:p>
        </w:tc>
        <w:tc>
          <w:tcPr>
            <w:tcW w:w="479" w:type="pct"/>
            <w:noWrap w:val="0"/>
            <w:vAlign w:val="center"/>
          </w:tcPr>
          <w:p w14:paraId="729F438E">
            <w:pPr>
              <w:adjustRightInd w:val="0"/>
              <w:snapToGrid w:val="0"/>
              <w:jc w:val="center"/>
              <w:rPr>
                <w:rFonts w:hAnsi="宋体" w:cs="宋体"/>
                <w:color w:val="auto"/>
                <w:sz w:val="18"/>
                <w:szCs w:val="18"/>
                <w:highlight w:val="none"/>
              </w:rPr>
            </w:pPr>
          </w:p>
        </w:tc>
        <w:tc>
          <w:tcPr>
            <w:tcW w:w="507" w:type="pct"/>
            <w:noWrap w:val="0"/>
            <w:vAlign w:val="center"/>
          </w:tcPr>
          <w:p w14:paraId="53B087CF">
            <w:pPr>
              <w:adjustRightInd w:val="0"/>
              <w:snapToGrid w:val="0"/>
              <w:jc w:val="center"/>
              <w:rPr>
                <w:rFonts w:hAnsi="宋体" w:cs="宋体"/>
                <w:color w:val="auto"/>
                <w:sz w:val="18"/>
                <w:szCs w:val="18"/>
                <w:highlight w:val="none"/>
              </w:rPr>
            </w:pPr>
          </w:p>
        </w:tc>
      </w:tr>
      <w:tr w14:paraId="2EFD1C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04" w:type="pct"/>
            <w:noWrap w:val="0"/>
            <w:vAlign w:val="center"/>
          </w:tcPr>
          <w:p w14:paraId="581C75B7">
            <w:pPr>
              <w:adjustRightInd w:val="0"/>
              <w:snapToGrid w:val="0"/>
              <w:jc w:val="center"/>
              <w:rPr>
                <w:rFonts w:hAnsi="宋体" w:cs="宋体"/>
                <w:color w:val="auto"/>
                <w:szCs w:val="21"/>
                <w:highlight w:val="none"/>
              </w:rPr>
            </w:pPr>
          </w:p>
        </w:tc>
        <w:tc>
          <w:tcPr>
            <w:tcW w:w="864" w:type="pct"/>
            <w:noWrap w:val="0"/>
            <w:vAlign w:val="center"/>
          </w:tcPr>
          <w:p w14:paraId="694E257C">
            <w:pPr>
              <w:adjustRightInd w:val="0"/>
              <w:snapToGrid w:val="0"/>
              <w:jc w:val="center"/>
              <w:rPr>
                <w:rFonts w:hAnsi="宋体" w:cs="宋体"/>
                <w:color w:val="auto"/>
                <w:szCs w:val="21"/>
                <w:highlight w:val="none"/>
              </w:rPr>
            </w:pPr>
          </w:p>
        </w:tc>
        <w:tc>
          <w:tcPr>
            <w:tcW w:w="1171" w:type="pct"/>
            <w:noWrap w:val="0"/>
            <w:vAlign w:val="center"/>
          </w:tcPr>
          <w:p w14:paraId="317BE172">
            <w:pPr>
              <w:adjustRightInd w:val="0"/>
              <w:snapToGrid w:val="0"/>
              <w:rPr>
                <w:rFonts w:hAnsi="宋体" w:cs="宋体"/>
                <w:color w:val="auto"/>
                <w:szCs w:val="21"/>
                <w:highlight w:val="none"/>
              </w:rPr>
            </w:pPr>
          </w:p>
        </w:tc>
        <w:tc>
          <w:tcPr>
            <w:tcW w:w="472" w:type="pct"/>
            <w:noWrap w:val="0"/>
            <w:vAlign w:val="center"/>
          </w:tcPr>
          <w:p w14:paraId="50F434EA">
            <w:pPr>
              <w:adjustRightInd w:val="0"/>
              <w:snapToGrid w:val="0"/>
              <w:jc w:val="center"/>
              <w:rPr>
                <w:rFonts w:hAnsi="宋体" w:cs="宋体"/>
                <w:color w:val="auto"/>
                <w:szCs w:val="21"/>
                <w:highlight w:val="none"/>
              </w:rPr>
            </w:pPr>
          </w:p>
        </w:tc>
        <w:tc>
          <w:tcPr>
            <w:tcW w:w="529" w:type="pct"/>
            <w:noWrap w:val="0"/>
            <w:vAlign w:val="center"/>
          </w:tcPr>
          <w:p w14:paraId="38296F6C">
            <w:pPr>
              <w:adjustRightInd w:val="0"/>
              <w:snapToGrid w:val="0"/>
              <w:jc w:val="center"/>
              <w:rPr>
                <w:rFonts w:hAnsi="宋体" w:cs="宋体"/>
                <w:color w:val="auto"/>
                <w:sz w:val="18"/>
                <w:szCs w:val="18"/>
                <w:highlight w:val="none"/>
              </w:rPr>
            </w:pPr>
          </w:p>
        </w:tc>
        <w:tc>
          <w:tcPr>
            <w:tcW w:w="472" w:type="pct"/>
            <w:noWrap w:val="0"/>
            <w:vAlign w:val="center"/>
          </w:tcPr>
          <w:p w14:paraId="1A6B616C">
            <w:pPr>
              <w:adjustRightInd w:val="0"/>
              <w:snapToGrid w:val="0"/>
              <w:jc w:val="center"/>
              <w:rPr>
                <w:rFonts w:hAnsi="宋体" w:cs="宋体"/>
                <w:color w:val="auto"/>
                <w:sz w:val="18"/>
                <w:szCs w:val="18"/>
                <w:highlight w:val="none"/>
              </w:rPr>
            </w:pPr>
          </w:p>
        </w:tc>
        <w:tc>
          <w:tcPr>
            <w:tcW w:w="479" w:type="pct"/>
            <w:noWrap w:val="0"/>
            <w:vAlign w:val="center"/>
          </w:tcPr>
          <w:p w14:paraId="7D500C2B">
            <w:pPr>
              <w:adjustRightInd w:val="0"/>
              <w:snapToGrid w:val="0"/>
              <w:jc w:val="center"/>
              <w:rPr>
                <w:rFonts w:hAnsi="宋体" w:cs="宋体"/>
                <w:color w:val="auto"/>
                <w:sz w:val="18"/>
                <w:szCs w:val="18"/>
                <w:highlight w:val="none"/>
              </w:rPr>
            </w:pPr>
          </w:p>
        </w:tc>
        <w:tc>
          <w:tcPr>
            <w:tcW w:w="507" w:type="pct"/>
            <w:noWrap w:val="0"/>
            <w:vAlign w:val="center"/>
          </w:tcPr>
          <w:p w14:paraId="0F0F37B0">
            <w:pPr>
              <w:adjustRightInd w:val="0"/>
              <w:snapToGrid w:val="0"/>
              <w:jc w:val="center"/>
              <w:rPr>
                <w:rFonts w:hAnsi="宋体" w:cs="宋体"/>
                <w:color w:val="auto"/>
                <w:sz w:val="18"/>
                <w:szCs w:val="18"/>
                <w:highlight w:val="none"/>
              </w:rPr>
            </w:pPr>
          </w:p>
        </w:tc>
      </w:tr>
      <w:tr w14:paraId="67103C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04" w:type="pct"/>
            <w:noWrap w:val="0"/>
            <w:vAlign w:val="center"/>
          </w:tcPr>
          <w:p w14:paraId="564AFE07">
            <w:pPr>
              <w:adjustRightInd w:val="0"/>
              <w:snapToGrid w:val="0"/>
              <w:jc w:val="center"/>
              <w:rPr>
                <w:rFonts w:hAnsi="宋体" w:cs="宋体"/>
                <w:color w:val="auto"/>
                <w:szCs w:val="21"/>
                <w:highlight w:val="none"/>
              </w:rPr>
            </w:pPr>
          </w:p>
        </w:tc>
        <w:tc>
          <w:tcPr>
            <w:tcW w:w="864" w:type="pct"/>
            <w:noWrap w:val="0"/>
            <w:vAlign w:val="center"/>
          </w:tcPr>
          <w:p w14:paraId="75EF90D2">
            <w:pPr>
              <w:adjustRightInd w:val="0"/>
              <w:snapToGrid w:val="0"/>
              <w:jc w:val="center"/>
              <w:rPr>
                <w:rFonts w:hAnsi="宋体" w:cs="宋体"/>
                <w:color w:val="auto"/>
                <w:szCs w:val="21"/>
                <w:highlight w:val="none"/>
              </w:rPr>
            </w:pPr>
          </w:p>
        </w:tc>
        <w:tc>
          <w:tcPr>
            <w:tcW w:w="1171" w:type="pct"/>
            <w:noWrap w:val="0"/>
            <w:vAlign w:val="center"/>
          </w:tcPr>
          <w:p w14:paraId="40E1E25B">
            <w:pPr>
              <w:adjustRightInd w:val="0"/>
              <w:snapToGrid w:val="0"/>
              <w:rPr>
                <w:rFonts w:hAnsi="宋体" w:cs="宋体"/>
                <w:color w:val="auto"/>
                <w:szCs w:val="21"/>
                <w:highlight w:val="none"/>
              </w:rPr>
            </w:pPr>
          </w:p>
        </w:tc>
        <w:tc>
          <w:tcPr>
            <w:tcW w:w="472" w:type="pct"/>
            <w:noWrap w:val="0"/>
            <w:vAlign w:val="center"/>
          </w:tcPr>
          <w:p w14:paraId="15CF531E">
            <w:pPr>
              <w:adjustRightInd w:val="0"/>
              <w:snapToGrid w:val="0"/>
              <w:jc w:val="center"/>
              <w:rPr>
                <w:rFonts w:hAnsi="宋体" w:cs="宋体"/>
                <w:color w:val="auto"/>
                <w:szCs w:val="21"/>
                <w:highlight w:val="none"/>
              </w:rPr>
            </w:pPr>
          </w:p>
        </w:tc>
        <w:tc>
          <w:tcPr>
            <w:tcW w:w="529" w:type="pct"/>
            <w:noWrap w:val="0"/>
            <w:vAlign w:val="center"/>
          </w:tcPr>
          <w:p w14:paraId="6BA45F77">
            <w:pPr>
              <w:adjustRightInd w:val="0"/>
              <w:snapToGrid w:val="0"/>
              <w:jc w:val="center"/>
              <w:rPr>
                <w:rFonts w:hAnsi="宋体" w:cs="宋体"/>
                <w:color w:val="auto"/>
                <w:sz w:val="18"/>
                <w:szCs w:val="18"/>
                <w:highlight w:val="none"/>
              </w:rPr>
            </w:pPr>
          </w:p>
        </w:tc>
        <w:tc>
          <w:tcPr>
            <w:tcW w:w="472" w:type="pct"/>
            <w:noWrap w:val="0"/>
            <w:vAlign w:val="center"/>
          </w:tcPr>
          <w:p w14:paraId="295703EB">
            <w:pPr>
              <w:adjustRightInd w:val="0"/>
              <w:snapToGrid w:val="0"/>
              <w:jc w:val="center"/>
              <w:rPr>
                <w:rFonts w:hAnsi="宋体" w:cs="宋体"/>
                <w:color w:val="auto"/>
                <w:sz w:val="18"/>
                <w:szCs w:val="18"/>
                <w:highlight w:val="none"/>
              </w:rPr>
            </w:pPr>
          </w:p>
        </w:tc>
        <w:tc>
          <w:tcPr>
            <w:tcW w:w="479" w:type="pct"/>
            <w:noWrap w:val="0"/>
            <w:vAlign w:val="center"/>
          </w:tcPr>
          <w:p w14:paraId="599BCDB1">
            <w:pPr>
              <w:adjustRightInd w:val="0"/>
              <w:snapToGrid w:val="0"/>
              <w:jc w:val="center"/>
              <w:rPr>
                <w:rFonts w:hAnsi="宋体" w:cs="宋体"/>
                <w:color w:val="auto"/>
                <w:sz w:val="18"/>
                <w:szCs w:val="18"/>
                <w:highlight w:val="none"/>
              </w:rPr>
            </w:pPr>
          </w:p>
        </w:tc>
        <w:tc>
          <w:tcPr>
            <w:tcW w:w="507" w:type="pct"/>
            <w:noWrap w:val="0"/>
            <w:vAlign w:val="center"/>
          </w:tcPr>
          <w:p w14:paraId="7228DCE4">
            <w:pPr>
              <w:adjustRightInd w:val="0"/>
              <w:snapToGrid w:val="0"/>
              <w:jc w:val="center"/>
              <w:rPr>
                <w:rFonts w:hAnsi="宋体" w:cs="宋体"/>
                <w:color w:val="auto"/>
                <w:sz w:val="18"/>
                <w:szCs w:val="18"/>
                <w:highlight w:val="none"/>
              </w:rPr>
            </w:pPr>
          </w:p>
        </w:tc>
      </w:tr>
      <w:tr w14:paraId="4EEC47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04" w:type="pct"/>
            <w:noWrap w:val="0"/>
            <w:vAlign w:val="center"/>
          </w:tcPr>
          <w:p w14:paraId="3C2658EB">
            <w:pPr>
              <w:adjustRightInd w:val="0"/>
              <w:snapToGrid w:val="0"/>
              <w:jc w:val="center"/>
              <w:rPr>
                <w:rFonts w:hAnsi="宋体" w:cs="宋体"/>
                <w:color w:val="auto"/>
                <w:szCs w:val="21"/>
                <w:highlight w:val="none"/>
              </w:rPr>
            </w:pPr>
          </w:p>
        </w:tc>
        <w:tc>
          <w:tcPr>
            <w:tcW w:w="864" w:type="pct"/>
            <w:noWrap w:val="0"/>
            <w:vAlign w:val="center"/>
          </w:tcPr>
          <w:p w14:paraId="29DDDD01">
            <w:pPr>
              <w:adjustRightInd w:val="0"/>
              <w:snapToGrid w:val="0"/>
              <w:jc w:val="center"/>
              <w:rPr>
                <w:rFonts w:hAnsi="宋体" w:cs="宋体"/>
                <w:color w:val="auto"/>
                <w:szCs w:val="21"/>
                <w:highlight w:val="none"/>
              </w:rPr>
            </w:pPr>
          </w:p>
        </w:tc>
        <w:tc>
          <w:tcPr>
            <w:tcW w:w="1171" w:type="pct"/>
            <w:noWrap w:val="0"/>
            <w:vAlign w:val="center"/>
          </w:tcPr>
          <w:p w14:paraId="7FDEEAE3">
            <w:pPr>
              <w:adjustRightInd w:val="0"/>
              <w:snapToGrid w:val="0"/>
              <w:rPr>
                <w:rFonts w:hAnsi="宋体" w:cs="宋体"/>
                <w:color w:val="auto"/>
                <w:szCs w:val="21"/>
                <w:highlight w:val="none"/>
              </w:rPr>
            </w:pPr>
          </w:p>
        </w:tc>
        <w:tc>
          <w:tcPr>
            <w:tcW w:w="472" w:type="pct"/>
            <w:noWrap w:val="0"/>
            <w:vAlign w:val="center"/>
          </w:tcPr>
          <w:p w14:paraId="6650ED24">
            <w:pPr>
              <w:adjustRightInd w:val="0"/>
              <w:snapToGrid w:val="0"/>
              <w:jc w:val="center"/>
              <w:rPr>
                <w:rFonts w:hAnsi="宋体" w:cs="宋体"/>
                <w:color w:val="auto"/>
                <w:szCs w:val="21"/>
                <w:highlight w:val="none"/>
              </w:rPr>
            </w:pPr>
          </w:p>
        </w:tc>
        <w:tc>
          <w:tcPr>
            <w:tcW w:w="529" w:type="pct"/>
            <w:noWrap w:val="0"/>
            <w:vAlign w:val="center"/>
          </w:tcPr>
          <w:p w14:paraId="649FD237">
            <w:pPr>
              <w:adjustRightInd w:val="0"/>
              <w:snapToGrid w:val="0"/>
              <w:jc w:val="center"/>
              <w:rPr>
                <w:rFonts w:hAnsi="宋体" w:cs="宋体"/>
                <w:color w:val="auto"/>
                <w:sz w:val="18"/>
                <w:szCs w:val="18"/>
                <w:highlight w:val="none"/>
              </w:rPr>
            </w:pPr>
          </w:p>
        </w:tc>
        <w:tc>
          <w:tcPr>
            <w:tcW w:w="472" w:type="pct"/>
            <w:noWrap w:val="0"/>
            <w:vAlign w:val="center"/>
          </w:tcPr>
          <w:p w14:paraId="59734BBA">
            <w:pPr>
              <w:adjustRightInd w:val="0"/>
              <w:snapToGrid w:val="0"/>
              <w:jc w:val="center"/>
              <w:rPr>
                <w:rFonts w:hAnsi="宋体" w:cs="宋体"/>
                <w:color w:val="auto"/>
                <w:sz w:val="18"/>
                <w:szCs w:val="18"/>
                <w:highlight w:val="none"/>
              </w:rPr>
            </w:pPr>
          </w:p>
        </w:tc>
        <w:tc>
          <w:tcPr>
            <w:tcW w:w="479" w:type="pct"/>
            <w:noWrap w:val="0"/>
            <w:vAlign w:val="center"/>
          </w:tcPr>
          <w:p w14:paraId="5C0DFB4F">
            <w:pPr>
              <w:adjustRightInd w:val="0"/>
              <w:snapToGrid w:val="0"/>
              <w:jc w:val="center"/>
              <w:rPr>
                <w:rFonts w:hAnsi="宋体" w:cs="宋体"/>
                <w:color w:val="auto"/>
                <w:sz w:val="18"/>
                <w:szCs w:val="18"/>
                <w:highlight w:val="none"/>
              </w:rPr>
            </w:pPr>
          </w:p>
        </w:tc>
        <w:tc>
          <w:tcPr>
            <w:tcW w:w="507" w:type="pct"/>
            <w:noWrap w:val="0"/>
            <w:vAlign w:val="center"/>
          </w:tcPr>
          <w:p w14:paraId="14594C5A">
            <w:pPr>
              <w:adjustRightInd w:val="0"/>
              <w:snapToGrid w:val="0"/>
              <w:jc w:val="center"/>
              <w:rPr>
                <w:rFonts w:hAnsi="宋体" w:cs="宋体"/>
                <w:color w:val="auto"/>
                <w:sz w:val="18"/>
                <w:szCs w:val="18"/>
                <w:highlight w:val="none"/>
              </w:rPr>
            </w:pPr>
          </w:p>
        </w:tc>
      </w:tr>
      <w:tr w14:paraId="427A73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04" w:type="pct"/>
            <w:noWrap w:val="0"/>
            <w:vAlign w:val="center"/>
          </w:tcPr>
          <w:p w14:paraId="2AF346DC">
            <w:pPr>
              <w:adjustRightInd w:val="0"/>
              <w:snapToGrid w:val="0"/>
              <w:jc w:val="center"/>
              <w:rPr>
                <w:rFonts w:hAnsi="宋体" w:cs="宋体"/>
                <w:color w:val="auto"/>
                <w:szCs w:val="21"/>
                <w:highlight w:val="none"/>
              </w:rPr>
            </w:pPr>
          </w:p>
        </w:tc>
        <w:tc>
          <w:tcPr>
            <w:tcW w:w="864" w:type="pct"/>
            <w:noWrap w:val="0"/>
            <w:vAlign w:val="center"/>
          </w:tcPr>
          <w:p w14:paraId="0FAB90DA">
            <w:pPr>
              <w:adjustRightInd w:val="0"/>
              <w:snapToGrid w:val="0"/>
              <w:jc w:val="center"/>
              <w:rPr>
                <w:rFonts w:hAnsi="宋体" w:cs="宋体"/>
                <w:color w:val="auto"/>
                <w:szCs w:val="21"/>
                <w:highlight w:val="none"/>
              </w:rPr>
            </w:pPr>
          </w:p>
        </w:tc>
        <w:tc>
          <w:tcPr>
            <w:tcW w:w="1171" w:type="pct"/>
            <w:noWrap w:val="0"/>
            <w:vAlign w:val="center"/>
          </w:tcPr>
          <w:p w14:paraId="2CD37652">
            <w:pPr>
              <w:adjustRightInd w:val="0"/>
              <w:snapToGrid w:val="0"/>
              <w:rPr>
                <w:rFonts w:hAnsi="宋体" w:cs="宋体"/>
                <w:color w:val="auto"/>
                <w:szCs w:val="21"/>
                <w:highlight w:val="none"/>
              </w:rPr>
            </w:pPr>
          </w:p>
        </w:tc>
        <w:tc>
          <w:tcPr>
            <w:tcW w:w="472" w:type="pct"/>
            <w:noWrap w:val="0"/>
            <w:vAlign w:val="center"/>
          </w:tcPr>
          <w:p w14:paraId="7AFFCCD5">
            <w:pPr>
              <w:adjustRightInd w:val="0"/>
              <w:snapToGrid w:val="0"/>
              <w:jc w:val="center"/>
              <w:rPr>
                <w:rFonts w:hAnsi="宋体" w:cs="宋体"/>
                <w:color w:val="auto"/>
                <w:szCs w:val="21"/>
                <w:highlight w:val="none"/>
              </w:rPr>
            </w:pPr>
          </w:p>
        </w:tc>
        <w:tc>
          <w:tcPr>
            <w:tcW w:w="529" w:type="pct"/>
            <w:noWrap w:val="0"/>
            <w:vAlign w:val="center"/>
          </w:tcPr>
          <w:p w14:paraId="31EBEE9B">
            <w:pPr>
              <w:adjustRightInd w:val="0"/>
              <w:snapToGrid w:val="0"/>
              <w:jc w:val="center"/>
              <w:rPr>
                <w:rFonts w:hAnsi="宋体" w:cs="宋体"/>
                <w:color w:val="auto"/>
                <w:sz w:val="18"/>
                <w:szCs w:val="18"/>
                <w:highlight w:val="none"/>
              </w:rPr>
            </w:pPr>
          </w:p>
        </w:tc>
        <w:tc>
          <w:tcPr>
            <w:tcW w:w="472" w:type="pct"/>
            <w:noWrap w:val="0"/>
            <w:vAlign w:val="center"/>
          </w:tcPr>
          <w:p w14:paraId="4480C90D">
            <w:pPr>
              <w:adjustRightInd w:val="0"/>
              <w:snapToGrid w:val="0"/>
              <w:jc w:val="center"/>
              <w:rPr>
                <w:rFonts w:hAnsi="宋体" w:cs="宋体"/>
                <w:color w:val="auto"/>
                <w:sz w:val="18"/>
                <w:szCs w:val="18"/>
                <w:highlight w:val="none"/>
              </w:rPr>
            </w:pPr>
          </w:p>
        </w:tc>
        <w:tc>
          <w:tcPr>
            <w:tcW w:w="479" w:type="pct"/>
            <w:noWrap w:val="0"/>
            <w:vAlign w:val="center"/>
          </w:tcPr>
          <w:p w14:paraId="185C3492">
            <w:pPr>
              <w:adjustRightInd w:val="0"/>
              <w:snapToGrid w:val="0"/>
              <w:jc w:val="center"/>
              <w:rPr>
                <w:rFonts w:hAnsi="宋体" w:cs="宋体"/>
                <w:color w:val="auto"/>
                <w:sz w:val="18"/>
                <w:szCs w:val="18"/>
                <w:highlight w:val="none"/>
              </w:rPr>
            </w:pPr>
          </w:p>
        </w:tc>
        <w:tc>
          <w:tcPr>
            <w:tcW w:w="507" w:type="pct"/>
            <w:noWrap w:val="0"/>
            <w:vAlign w:val="center"/>
          </w:tcPr>
          <w:p w14:paraId="1D737A98">
            <w:pPr>
              <w:adjustRightInd w:val="0"/>
              <w:snapToGrid w:val="0"/>
              <w:jc w:val="center"/>
              <w:rPr>
                <w:rFonts w:hAnsi="宋体" w:cs="宋体"/>
                <w:color w:val="auto"/>
                <w:sz w:val="18"/>
                <w:szCs w:val="18"/>
                <w:highlight w:val="none"/>
              </w:rPr>
            </w:pPr>
          </w:p>
        </w:tc>
      </w:tr>
      <w:tr w14:paraId="07EB5B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04" w:type="pct"/>
            <w:noWrap w:val="0"/>
            <w:vAlign w:val="center"/>
          </w:tcPr>
          <w:p w14:paraId="65A5ACEF">
            <w:pPr>
              <w:adjustRightInd w:val="0"/>
              <w:snapToGrid w:val="0"/>
              <w:jc w:val="center"/>
              <w:rPr>
                <w:rFonts w:hAnsi="宋体" w:cs="宋体"/>
                <w:color w:val="auto"/>
                <w:szCs w:val="21"/>
                <w:highlight w:val="none"/>
              </w:rPr>
            </w:pPr>
          </w:p>
        </w:tc>
        <w:tc>
          <w:tcPr>
            <w:tcW w:w="864" w:type="pct"/>
            <w:noWrap w:val="0"/>
            <w:vAlign w:val="center"/>
          </w:tcPr>
          <w:p w14:paraId="1BBB2CCC">
            <w:pPr>
              <w:adjustRightInd w:val="0"/>
              <w:snapToGrid w:val="0"/>
              <w:jc w:val="center"/>
              <w:rPr>
                <w:rFonts w:hAnsi="宋体" w:cs="宋体"/>
                <w:color w:val="auto"/>
                <w:szCs w:val="21"/>
                <w:highlight w:val="none"/>
              </w:rPr>
            </w:pPr>
          </w:p>
        </w:tc>
        <w:tc>
          <w:tcPr>
            <w:tcW w:w="1171" w:type="pct"/>
            <w:noWrap w:val="0"/>
            <w:vAlign w:val="center"/>
          </w:tcPr>
          <w:p w14:paraId="2D275AE9">
            <w:pPr>
              <w:adjustRightInd w:val="0"/>
              <w:snapToGrid w:val="0"/>
              <w:rPr>
                <w:rFonts w:hAnsi="宋体" w:cs="宋体"/>
                <w:color w:val="auto"/>
                <w:szCs w:val="21"/>
                <w:highlight w:val="none"/>
              </w:rPr>
            </w:pPr>
          </w:p>
        </w:tc>
        <w:tc>
          <w:tcPr>
            <w:tcW w:w="472" w:type="pct"/>
            <w:noWrap w:val="0"/>
            <w:vAlign w:val="center"/>
          </w:tcPr>
          <w:p w14:paraId="175A45FD">
            <w:pPr>
              <w:adjustRightInd w:val="0"/>
              <w:snapToGrid w:val="0"/>
              <w:jc w:val="center"/>
              <w:rPr>
                <w:rFonts w:hAnsi="宋体" w:cs="宋体"/>
                <w:color w:val="auto"/>
                <w:szCs w:val="21"/>
                <w:highlight w:val="none"/>
              </w:rPr>
            </w:pPr>
          </w:p>
        </w:tc>
        <w:tc>
          <w:tcPr>
            <w:tcW w:w="529" w:type="pct"/>
            <w:noWrap w:val="0"/>
            <w:vAlign w:val="center"/>
          </w:tcPr>
          <w:p w14:paraId="1677EC1D">
            <w:pPr>
              <w:adjustRightInd w:val="0"/>
              <w:snapToGrid w:val="0"/>
              <w:jc w:val="center"/>
              <w:rPr>
                <w:rFonts w:hAnsi="宋体" w:cs="宋体"/>
                <w:color w:val="auto"/>
                <w:sz w:val="18"/>
                <w:szCs w:val="18"/>
                <w:highlight w:val="none"/>
              </w:rPr>
            </w:pPr>
          </w:p>
        </w:tc>
        <w:tc>
          <w:tcPr>
            <w:tcW w:w="472" w:type="pct"/>
            <w:noWrap w:val="0"/>
            <w:vAlign w:val="center"/>
          </w:tcPr>
          <w:p w14:paraId="73B539A9">
            <w:pPr>
              <w:adjustRightInd w:val="0"/>
              <w:snapToGrid w:val="0"/>
              <w:jc w:val="center"/>
              <w:rPr>
                <w:rFonts w:hAnsi="宋体" w:cs="宋体"/>
                <w:color w:val="auto"/>
                <w:sz w:val="18"/>
                <w:szCs w:val="18"/>
                <w:highlight w:val="none"/>
              </w:rPr>
            </w:pPr>
          </w:p>
        </w:tc>
        <w:tc>
          <w:tcPr>
            <w:tcW w:w="479" w:type="pct"/>
            <w:noWrap w:val="0"/>
            <w:vAlign w:val="center"/>
          </w:tcPr>
          <w:p w14:paraId="0BCB123C">
            <w:pPr>
              <w:adjustRightInd w:val="0"/>
              <w:snapToGrid w:val="0"/>
              <w:jc w:val="center"/>
              <w:rPr>
                <w:rFonts w:hAnsi="宋体" w:cs="宋体"/>
                <w:color w:val="auto"/>
                <w:sz w:val="18"/>
                <w:szCs w:val="18"/>
                <w:highlight w:val="none"/>
              </w:rPr>
            </w:pPr>
          </w:p>
        </w:tc>
        <w:tc>
          <w:tcPr>
            <w:tcW w:w="507" w:type="pct"/>
            <w:noWrap w:val="0"/>
            <w:vAlign w:val="center"/>
          </w:tcPr>
          <w:p w14:paraId="736B1CA7">
            <w:pPr>
              <w:adjustRightInd w:val="0"/>
              <w:snapToGrid w:val="0"/>
              <w:jc w:val="center"/>
              <w:rPr>
                <w:rFonts w:hAnsi="宋体" w:cs="宋体"/>
                <w:color w:val="auto"/>
                <w:sz w:val="18"/>
                <w:szCs w:val="18"/>
                <w:highlight w:val="none"/>
              </w:rPr>
            </w:pPr>
          </w:p>
        </w:tc>
      </w:tr>
      <w:tr w14:paraId="736279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04" w:type="pct"/>
            <w:noWrap w:val="0"/>
            <w:vAlign w:val="center"/>
          </w:tcPr>
          <w:p w14:paraId="0E92294B">
            <w:pPr>
              <w:adjustRightInd w:val="0"/>
              <w:snapToGrid w:val="0"/>
              <w:jc w:val="center"/>
              <w:rPr>
                <w:rFonts w:hAnsi="宋体" w:cs="宋体"/>
                <w:color w:val="auto"/>
                <w:szCs w:val="21"/>
                <w:highlight w:val="none"/>
              </w:rPr>
            </w:pPr>
          </w:p>
        </w:tc>
        <w:tc>
          <w:tcPr>
            <w:tcW w:w="864" w:type="pct"/>
            <w:noWrap w:val="0"/>
            <w:vAlign w:val="center"/>
          </w:tcPr>
          <w:p w14:paraId="62EE4DC3">
            <w:pPr>
              <w:adjustRightInd w:val="0"/>
              <w:snapToGrid w:val="0"/>
              <w:jc w:val="center"/>
              <w:rPr>
                <w:rFonts w:hAnsi="宋体" w:cs="宋体"/>
                <w:color w:val="auto"/>
                <w:szCs w:val="21"/>
                <w:highlight w:val="none"/>
              </w:rPr>
            </w:pPr>
          </w:p>
        </w:tc>
        <w:tc>
          <w:tcPr>
            <w:tcW w:w="1171" w:type="pct"/>
            <w:noWrap w:val="0"/>
            <w:vAlign w:val="center"/>
          </w:tcPr>
          <w:p w14:paraId="305B68CC">
            <w:pPr>
              <w:adjustRightInd w:val="0"/>
              <w:snapToGrid w:val="0"/>
              <w:rPr>
                <w:rFonts w:hAnsi="宋体" w:cs="宋体"/>
                <w:color w:val="auto"/>
                <w:szCs w:val="21"/>
                <w:highlight w:val="none"/>
              </w:rPr>
            </w:pPr>
          </w:p>
        </w:tc>
        <w:tc>
          <w:tcPr>
            <w:tcW w:w="472" w:type="pct"/>
            <w:noWrap w:val="0"/>
            <w:vAlign w:val="center"/>
          </w:tcPr>
          <w:p w14:paraId="33480517">
            <w:pPr>
              <w:adjustRightInd w:val="0"/>
              <w:snapToGrid w:val="0"/>
              <w:jc w:val="center"/>
              <w:rPr>
                <w:rFonts w:hAnsi="宋体" w:cs="宋体"/>
                <w:color w:val="auto"/>
                <w:szCs w:val="21"/>
                <w:highlight w:val="none"/>
              </w:rPr>
            </w:pPr>
          </w:p>
        </w:tc>
        <w:tc>
          <w:tcPr>
            <w:tcW w:w="529" w:type="pct"/>
            <w:noWrap w:val="0"/>
            <w:vAlign w:val="center"/>
          </w:tcPr>
          <w:p w14:paraId="25EAEF2B">
            <w:pPr>
              <w:adjustRightInd w:val="0"/>
              <w:snapToGrid w:val="0"/>
              <w:jc w:val="center"/>
              <w:rPr>
                <w:rFonts w:hAnsi="宋体" w:cs="宋体"/>
                <w:color w:val="auto"/>
                <w:sz w:val="18"/>
                <w:szCs w:val="18"/>
                <w:highlight w:val="none"/>
              </w:rPr>
            </w:pPr>
          </w:p>
        </w:tc>
        <w:tc>
          <w:tcPr>
            <w:tcW w:w="472" w:type="pct"/>
            <w:noWrap w:val="0"/>
            <w:vAlign w:val="center"/>
          </w:tcPr>
          <w:p w14:paraId="0907B15D">
            <w:pPr>
              <w:adjustRightInd w:val="0"/>
              <w:snapToGrid w:val="0"/>
              <w:jc w:val="center"/>
              <w:rPr>
                <w:rFonts w:hAnsi="宋体" w:cs="宋体"/>
                <w:color w:val="auto"/>
                <w:sz w:val="18"/>
                <w:szCs w:val="18"/>
                <w:highlight w:val="none"/>
              </w:rPr>
            </w:pPr>
          </w:p>
        </w:tc>
        <w:tc>
          <w:tcPr>
            <w:tcW w:w="479" w:type="pct"/>
            <w:noWrap w:val="0"/>
            <w:vAlign w:val="center"/>
          </w:tcPr>
          <w:p w14:paraId="0018EC0F">
            <w:pPr>
              <w:adjustRightInd w:val="0"/>
              <w:snapToGrid w:val="0"/>
              <w:jc w:val="center"/>
              <w:rPr>
                <w:rFonts w:hAnsi="宋体" w:cs="宋体"/>
                <w:color w:val="auto"/>
                <w:sz w:val="18"/>
                <w:szCs w:val="18"/>
                <w:highlight w:val="none"/>
              </w:rPr>
            </w:pPr>
          </w:p>
        </w:tc>
        <w:tc>
          <w:tcPr>
            <w:tcW w:w="507" w:type="pct"/>
            <w:noWrap w:val="0"/>
            <w:vAlign w:val="center"/>
          </w:tcPr>
          <w:p w14:paraId="08030C05">
            <w:pPr>
              <w:adjustRightInd w:val="0"/>
              <w:snapToGrid w:val="0"/>
              <w:jc w:val="center"/>
              <w:rPr>
                <w:rFonts w:hAnsi="宋体" w:cs="宋体"/>
                <w:color w:val="auto"/>
                <w:sz w:val="18"/>
                <w:szCs w:val="18"/>
                <w:highlight w:val="none"/>
              </w:rPr>
            </w:pPr>
          </w:p>
        </w:tc>
      </w:tr>
      <w:tr w14:paraId="55E6F6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04" w:type="pct"/>
            <w:noWrap w:val="0"/>
            <w:vAlign w:val="center"/>
          </w:tcPr>
          <w:p w14:paraId="2153B589">
            <w:pPr>
              <w:adjustRightInd w:val="0"/>
              <w:snapToGrid w:val="0"/>
              <w:jc w:val="center"/>
              <w:rPr>
                <w:rFonts w:hAnsi="宋体" w:cs="宋体"/>
                <w:color w:val="auto"/>
                <w:szCs w:val="21"/>
                <w:highlight w:val="none"/>
              </w:rPr>
            </w:pPr>
          </w:p>
        </w:tc>
        <w:tc>
          <w:tcPr>
            <w:tcW w:w="864" w:type="pct"/>
            <w:noWrap w:val="0"/>
            <w:vAlign w:val="center"/>
          </w:tcPr>
          <w:p w14:paraId="0639908F">
            <w:pPr>
              <w:adjustRightInd w:val="0"/>
              <w:snapToGrid w:val="0"/>
              <w:jc w:val="center"/>
              <w:rPr>
                <w:rFonts w:hAnsi="宋体" w:cs="宋体"/>
                <w:color w:val="auto"/>
                <w:szCs w:val="21"/>
                <w:highlight w:val="none"/>
              </w:rPr>
            </w:pPr>
          </w:p>
        </w:tc>
        <w:tc>
          <w:tcPr>
            <w:tcW w:w="1171" w:type="pct"/>
            <w:noWrap w:val="0"/>
            <w:vAlign w:val="center"/>
          </w:tcPr>
          <w:p w14:paraId="68A29242">
            <w:pPr>
              <w:adjustRightInd w:val="0"/>
              <w:snapToGrid w:val="0"/>
              <w:rPr>
                <w:rFonts w:hAnsi="宋体" w:cs="宋体"/>
                <w:color w:val="auto"/>
                <w:szCs w:val="21"/>
                <w:highlight w:val="none"/>
              </w:rPr>
            </w:pPr>
          </w:p>
        </w:tc>
        <w:tc>
          <w:tcPr>
            <w:tcW w:w="472" w:type="pct"/>
            <w:noWrap w:val="0"/>
            <w:vAlign w:val="center"/>
          </w:tcPr>
          <w:p w14:paraId="0A3535F3">
            <w:pPr>
              <w:adjustRightInd w:val="0"/>
              <w:snapToGrid w:val="0"/>
              <w:jc w:val="center"/>
              <w:rPr>
                <w:rFonts w:hAnsi="宋体" w:cs="宋体"/>
                <w:color w:val="auto"/>
                <w:szCs w:val="21"/>
                <w:highlight w:val="none"/>
              </w:rPr>
            </w:pPr>
          </w:p>
        </w:tc>
        <w:tc>
          <w:tcPr>
            <w:tcW w:w="529" w:type="pct"/>
            <w:noWrap w:val="0"/>
            <w:vAlign w:val="center"/>
          </w:tcPr>
          <w:p w14:paraId="2AFF851E">
            <w:pPr>
              <w:adjustRightInd w:val="0"/>
              <w:snapToGrid w:val="0"/>
              <w:jc w:val="center"/>
              <w:rPr>
                <w:rFonts w:hAnsi="宋体" w:cs="宋体"/>
                <w:color w:val="auto"/>
                <w:sz w:val="18"/>
                <w:szCs w:val="18"/>
                <w:highlight w:val="none"/>
              </w:rPr>
            </w:pPr>
          </w:p>
        </w:tc>
        <w:tc>
          <w:tcPr>
            <w:tcW w:w="472" w:type="pct"/>
            <w:noWrap w:val="0"/>
            <w:vAlign w:val="center"/>
          </w:tcPr>
          <w:p w14:paraId="232185CD">
            <w:pPr>
              <w:adjustRightInd w:val="0"/>
              <w:snapToGrid w:val="0"/>
              <w:jc w:val="center"/>
              <w:rPr>
                <w:rFonts w:hAnsi="宋体" w:cs="宋体"/>
                <w:color w:val="auto"/>
                <w:sz w:val="18"/>
                <w:szCs w:val="18"/>
                <w:highlight w:val="none"/>
              </w:rPr>
            </w:pPr>
          </w:p>
        </w:tc>
        <w:tc>
          <w:tcPr>
            <w:tcW w:w="479" w:type="pct"/>
            <w:noWrap w:val="0"/>
            <w:vAlign w:val="center"/>
          </w:tcPr>
          <w:p w14:paraId="3210339F">
            <w:pPr>
              <w:adjustRightInd w:val="0"/>
              <w:snapToGrid w:val="0"/>
              <w:jc w:val="center"/>
              <w:rPr>
                <w:rFonts w:hAnsi="宋体" w:cs="宋体"/>
                <w:color w:val="auto"/>
                <w:sz w:val="18"/>
                <w:szCs w:val="18"/>
                <w:highlight w:val="none"/>
              </w:rPr>
            </w:pPr>
          </w:p>
        </w:tc>
        <w:tc>
          <w:tcPr>
            <w:tcW w:w="507" w:type="pct"/>
            <w:noWrap w:val="0"/>
            <w:vAlign w:val="center"/>
          </w:tcPr>
          <w:p w14:paraId="42D529B2">
            <w:pPr>
              <w:adjustRightInd w:val="0"/>
              <w:snapToGrid w:val="0"/>
              <w:jc w:val="center"/>
              <w:rPr>
                <w:rFonts w:hAnsi="宋体" w:cs="宋体"/>
                <w:color w:val="auto"/>
                <w:sz w:val="18"/>
                <w:szCs w:val="18"/>
                <w:highlight w:val="none"/>
              </w:rPr>
            </w:pPr>
          </w:p>
        </w:tc>
      </w:tr>
      <w:tr w14:paraId="48DB86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04" w:type="pct"/>
            <w:noWrap w:val="0"/>
            <w:vAlign w:val="center"/>
          </w:tcPr>
          <w:p w14:paraId="2202104E">
            <w:pPr>
              <w:adjustRightInd w:val="0"/>
              <w:snapToGrid w:val="0"/>
              <w:jc w:val="center"/>
              <w:rPr>
                <w:rFonts w:hAnsi="宋体" w:cs="宋体"/>
                <w:color w:val="auto"/>
                <w:szCs w:val="21"/>
                <w:highlight w:val="none"/>
              </w:rPr>
            </w:pPr>
          </w:p>
        </w:tc>
        <w:tc>
          <w:tcPr>
            <w:tcW w:w="864" w:type="pct"/>
            <w:noWrap w:val="0"/>
            <w:vAlign w:val="center"/>
          </w:tcPr>
          <w:p w14:paraId="788805FD">
            <w:pPr>
              <w:adjustRightInd w:val="0"/>
              <w:snapToGrid w:val="0"/>
              <w:jc w:val="center"/>
              <w:rPr>
                <w:rFonts w:hAnsi="宋体" w:cs="宋体"/>
                <w:color w:val="auto"/>
                <w:szCs w:val="21"/>
                <w:highlight w:val="none"/>
              </w:rPr>
            </w:pPr>
          </w:p>
        </w:tc>
        <w:tc>
          <w:tcPr>
            <w:tcW w:w="1171" w:type="pct"/>
            <w:noWrap w:val="0"/>
            <w:vAlign w:val="center"/>
          </w:tcPr>
          <w:p w14:paraId="1DA25135">
            <w:pPr>
              <w:adjustRightInd w:val="0"/>
              <w:snapToGrid w:val="0"/>
              <w:rPr>
                <w:rFonts w:hAnsi="宋体" w:cs="宋体"/>
                <w:color w:val="auto"/>
                <w:szCs w:val="21"/>
                <w:highlight w:val="none"/>
              </w:rPr>
            </w:pPr>
          </w:p>
        </w:tc>
        <w:tc>
          <w:tcPr>
            <w:tcW w:w="472" w:type="pct"/>
            <w:noWrap w:val="0"/>
            <w:vAlign w:val="center"/>
          </w:tcPr>
          <w:p w14:paraId="5F4E660F">
            <w:pPr>
              <w:adjustRightInd w:val="0"/>
              <w:snapToGrid w:val="0"/>
              <w:jc w:val="center"/>
              <w:rPr>
                <w:rFonts w:hAnsi="宋体" w:cs="宋体"/>
                <w:color w:val="auto"/>
                <w:szCs w:val="21"/>
                <w:highlight w:val="none"/>
              </w:rPr>
            </w:pPr>
          </w:p>
        </w:tc>
        <w:tc>
          <w:tcPr>
            <w:tcW w:w="529" w:type="pct"/>
            <w:noWrap w:val="0"/>
            <w:vAlign w:val="center"/>
          </w:tcPr>
          <w:p w14:paraId="4E7F3865">
            <w:pPr>
              <w:adjustRightInd w:val="0"/>
              <w:snapToGrid w:val="0"/>
              <w:jc w:val="center"/>
              <w:rPr>
                <w:rFonts w:hAnsi="宋体" w:cs="宋体"/>
                <w:color w:val="auto"/>
                <w:sz w:val="18"/>
                <w:szCs w:val="18"/>
                <w:highlight w:val="none"/>
              </w:rPr>
            </w:pPr>
          </w:p>
        </w:tc>
        <w:tc>
          <w:tcPr>
            <w:tcW w:w="472" w:type="pct"/>
            <w:noWrap w:val="0"/>
            <w:vAlign w:val="center"/>
          </w:tcPr>
          <w:p w14:paraId="3E036A46">
            <w:pPr>
              <w:adjustRightInd w:val="0"/>
              <w:snapToGrid w:val="0"/>
              <w:jc w:val="center"/>
              <w:rPr>
                <w:rFonts w:hAnsi="宋体" w:cs="宋体"/>
                <w:color w:val="auto"/>
                <w:sz w:val="18"/>
                <w:szCs w:val="18"/>
                <w:highlight w:val="none"/>
              </w:rPr>
            </w:pPr>
          </w:p>
        </w:tc>
        <w:tc>
          <w:tcPr>
            <w:tcW w:w="479" w:type="pct"/>
            <w:noWrap w:val="0"/>
            <w:vAlign w:val="center"/>
          </w:tcPr>
          <w:p w14:paraId="0A7BF3D4">
            <w:pPr>
              <w:adjustRightInd w:val="0"/>
              <w:snapToGrid w:val="0"/>
              <w:jc w:val="center"/>
              <w:rPr>
                <w:rFonts w:hAnsi="宋体" w:cs="宋体"/>
                <w:color w:val="auto"/>
                <w:sz w:val="18"/>
                <w:szCs w:val="18"/>
                <w:highlight w:val="none"/>
              </w:rPr>
            </w:pPr>
          </w:p>
        </w:tc>
        <w:tc>
          <w:tcPr>
            <w:tcW w:w="507" w:type="pct"/>
            <w:noWrap w:val="0"/>
            <w:vAlign w:val="center"/>
          </w:tcPr>
          <w:p w14:paraId="6C7B2463">
            <w:pPr>
              <w:adjustRightInd w:val="0"/>
              <w:snapToGrid w:val="0"/>
              <w:jc w:val="center"/>
              <w:rPr>
                <w:rFonts w:hAnsi="宋体" w:cs="宋体"/>
                <w:color w:val="auto"/>
                <w:sz w:val="18"/>
                <w:szCs w:val="18"/>
                <w:highlight w:val="none"/>
              </w:rPr>
            </w:pPr>
          </w:p>
        </w:tc>
      </w:tr>
      <w:tr w14:paraId="0FF900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04" w:type="pct"/>
            <w:noWrap w:val="0"/>
            <w:vAlign w:val="center"/>
          </w:tcPr>
          <w:p w14:paraId="2E849B52">
            <w:pPr>
              <w:adjustRightInd w:val="0"/>
              <w:snapToGrid w:val="0"/>
              <w:jc w:val="center"/>
              <w:rPr>
                <w:rFonts w:hAnsi="宋体" w:cs="宋体"/>
                <w:color w:val="auto"/>
                <w:szCs w:val="21"/>
                <w:highlight w:val="none"/>
              </w:rPr>
            </w:pPr>
          </w:p>
        </w:tc>
        <w:tc>
          <w:tcPr>
            <w:tcW w:w="864" w:type="pct"/>
            <w:noWrap w:val="0"/>
            <w:vAlign w:val="center"/>
          </w:tcPr>
          <w:p w14:paraId="597AA8DA">
            <w:pPr>
              <w:adjustRightInd w:val="0"/>
              <w:snapToGrid w:val="0"/>
              <w:jc w:val="center"/>
              <w:rPr>
                <w:rFonts w:hAnsi="宋体" w:cs="宋体"/>
                <w:color w:val="auto"/>
                <w:szCs w:val="21"/>
                <w:highlight w:val="none"/>
              </w:rPr>
            </w:pPr>
          </w:p>
        </w:tc>
        <w:tc>
          <w:tcPr>
            <w:tcW w:w="1171" w:type="pct"/>
            <w:noWrap w:val="0"/>
            <w:vAlign w:val="center"/>
          </w:tcPr>
          <w:p w14:paraId="6F8306FE">
            <w:pPr>
              <w:adjustRightInd w:val="0"/>
              <w:snapToGrid w:val="0"/>
              <w:rPr>
                <w:rFonts w:hAnsi="宋体" w:cs="宋体"/>
                <w:color w:val="auto"/>
                <w:szCs w:val="21"/>
                <w:highlight w:val="none"/>
              </w:rPr>
            </w:pPr>
          </w:p>
        </w:tc>
        <w:tc>
          <w:tcPr>
            <w:tcW w:w="472" w:type="pct"/>
            <w:noWrap w:val="0"/>
            <w:vAlign w:val="center"/>
          </w:tcPr>
          <w:p w14:paraId="50A4A669">
            <w:pPr>
              <w:adjustRightInd w:val="0"/>
              <w:snapToGrid w:val="0"/>
              <w:jc w:val="center"/>
              <w:rPr>
                <w:rFonts w:hAnsi="宋体" w:cs="宋体"/>
                <w:color w:val="auto"/>
                <w:szCs w:val="21"/>
                <w:highlight w:val="none"/>
              </w:rPr>
            </w:pPr>
          </w:p>
        </w:tc>
        <w:tc>
          <w:tcPr>
            <w:tcW w:w="529" w:type="pct"/>
            <w:noWrap w:val="0"/>
            <w:vAlign w:val="center"/>
          </w:tcPr>
          <w:p w14:paraId="63C7206B">
            <w:pPr>
              <w:adjustRightInd w:val="0"/>
              <w:snapToGrid w:val="0"/>
              <w:jc w:val="center"/>
              <w:rPr>
                <w:rFonts w:hAnsi="宋体" w:cs="宋体"/>
                <w:color w:val="auto"/>
                <w:sz w:val="18"/>
                <w:szCs w:val="18"/>
                <w:highlight w:val="none"/>
              </w:rPr>
            </w:pPr>
          </w:p>
        </w:tc>
        <w:tc>
          <w:tcPr>
            <w:tcW w:w="472" w:type="pct"/>
            <w:noWrap w:val="0"/>
            <w:vAlign w:val="center"/>
          </w:tcPr>
          <w:p w14:paraId="1CDF001B">
            <w:pPr>
              <w:adjustRightInd w:val="0"/>
              <w:snapToGrid w:val="0"/>
              <w:jc w:val="center"/>
              <w:rPr>
                <w:rFonts w:hAnsi="宋体" w:cs="宋体"/>
                <w:color w:val="auto"/>
                <w:sz w:val="18"/>
                <w:szCs w:val="18"/>
                <w:highlight w:val="none"/>
              </w:rPr>
            </w:pPr>
          </w:p>
        </w:tc>
        <w:tc>
          <w:tcPr>
            <w:tcW w:w="479" w:type="pct"/>
            <w:noWrap w:val="0"/>
            <w:vAlign w:val="center"/>
          </w:tcPr>
          <w:p w14:paraId="04890783">
            <w:pPr>
              <w:adjustRightInd w:val="0"/>
              <w:snapToGrid w:val="0"/>
              <w:jc w:val="center"/>
              <w:rPr>
                <w:rFonts w:hAnsi="宋体" w:cs="宋体"/>
                <w:color w:val="auto"/>
                <w:sz w:val="18"/>
                <w:szCs w:val="18"/>
                <w:highlight w:val="none"/>
              </w:rPr>
            </w:pPr>
          </w:p>
        </w:tc>
        <w:tc>
          <w:tcPr>
            <w:tcW w:w="507" w:type="pct"/>
            <w:noWrap w:val="0"/>
            <w:vAlign w:val="center"/>
          </w:tcPr>
          <w:p w14:paraId="734F4508">
            <w:pPr>
              <w:adjustRightInd w:val="0"/>
              <w:snapToGrid w:val="0"/>
              <w:jc w:val="center"/>
              <w:rPr>
                <w:rFonts w:hAnsi="宋体" w:cs="宋体"/>
                <w:color w:val="auto"/>
                <w:sz w:val="18"/>
                <w:szCs w:val="18"/>
                <w:highlight w:val="none"/>
              </w:rPr>
            </w:pPr>
          </w:p>
        </w:tc>
      </w:tr>
      <w:tr w14:paraId="3877F2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04" w:type="pct"/>
            <w:noWrap w:val="0"/>
            <w:vAlign w:val="center"/>
          </w:tcPr>
          <w:p w14:paraId="2629AA95">
            <w:pPr>
              <w:adjustRightInd w:val="0"/>
              <w:snapToGrid w:val="0"/>
              <w:jc w:val="center"/>
              <w:rPr>
                <w:rFonts w:hAnsi="宋体" w:cs="宋体"/>
                <w:color w:val="auto"/>
                <w:szCs w:val="21"/>
                <w:highlight w:val="none"/>
              </w:rPr>
            </w:pPr>
          </w:p>
        </w:tc>
        <w:tc>
          <w:tcPr>
            <w:tcW w:w="864" w:type="pct"/>
            <w:noWrap w:val="0"/>
            <w:vAlign w:val="center"/>
          </w:tcPr>
          <w:p w14:paraId="4E539025">
            <w:pPr>
              <w:adjustRightInd w:val="0"/>
              <w:snapToGrid w:val="0"/>
              <w:jc w:val="center"/>
              <w:rPr>
                <w:rFonts w:hAnsi="宋体" w:cs="宋体"/>
                <w:color w:val="auto"/>
                <w:szCs w:val="21"/>
                <w:highlight w:val="none"/>
              </w:rPr>
            </w:pPr>
          </w:p>
        </w:tc>
        <w:tc>
          <w:tcPr>
            <w:tcW w:w="1171" w:type="pct"/>
            <w:noWrap w:val="0"/>
            <w:vAlign w:val="center"/>
          </w:tcPr>
          <w:p w14:paraId="611E421E">
            <w:pPr>
              <w:adjustRightInd w:val="0"/>
              <w:snapToGrid w:val="0"/>
              <w:rPr>
                <w:rFonts w:hAnsi="宋体" w:cs="宋体"/>
                <w:color w:val="auto"/>
                <w:szCs w:val="21"/>
                <w:highlight w:val="none"/>
              </w:rPr>
            </w:pPr>
          </w:p>
        </w:tc>
        <w:tc>
          <w:tcPr>
            <w:tcW w:w="472" w:type="pct"/>
            <w:noWrap w:val="0"/>
            <w:vAlign w:val="center"/>
          </w:tcPr>
          <w:p w14:paraId="09D8C4B2">
            <w:pPr>
              <w:adjustRightInd w:val="0"/>
              <w:snapToGrid w:val="0"/>
              <w:jc w:val="center"/>
              <w:rPr>
                <w:rFonts w:hAnsi="宋体" w:cs="宋体"/>
                <w:color w:val="auto"/>
                <w:szCs w:val="21"/>
                <w:highlight w:val="none"/>
              </w:rPr>
            </w:pPr>
          </w:p>
        </w:tc>
        <w:tc>
          <w:tcPr>
            <w:tcW w:w="529" w:type="pct"/>
            <w:noWrap w:val="0"/>
            <w:vAlign w:val="center"/>
          </w:tcPr>
          <w:p w14:paraId="1F05B4D6">
            <w:pPr>
              <w:adjustRightInd w:val="0"/>
              <w:snapToGrid w:val="0"/>
              <w:jc w:val="center"/>
              <w:rPr>
                <w:rFonts w:hAnsi="宋体" w:cs="宋体"/>
                <w:color w:val="auto"/>
                <w:sz w:val="18"/>
                <w:szCs w:val="18"/>
                <w:highlight w:val="none"/>
              </w:rPr>
            </w:pPr>
          </w:p>
        </w:tc>
        <w:tc>
          <w:tcPr>
            <w:tcW w:w="472" w:type="pct"/>
            <w:noWrap w:val="0"/>
            <w:vAlign w:val="center"/>
          </w:tcPr>
          <w:p w14:paraId="38535C08">
            <w:pPr>
              <w:adjustRightInd w:val="0"/>
              <w:snapToGrid w:val="0"/>
              <w:jc w:val="center"/>
              <w:rPr>
                <w:rFonts w:hAnsi="宋体" w:cs="宋体"/>
                <w:color w:val="auto"/>
                <w:sz w:val="18"/>
                <w:szCs w:val="18"/>
                <w:highlight w:val="none"/>
              </w:rPr>
            </w:pPr>
          </w:p>
        </w:tc>
        <w:tc>
          <w:tcPr>
            <w:tcW w:w="479" w:type="pct"/>
            <w:noWrap w:val="0"/>
            <w:vAlign w:val="center"/>
          </w:tcPr>
          <w:p w14:paraId="240AEE92">
            <w:pPr>
              <w:adjustRightInd w:val="0"/>
              <w:snapToGrid w:val="0"/>
              <w:jc w:val="center"/>
              <w:rPr>
                <w:rFonts w:hAnsi="宋体" w:cs="宋体"/>
                <w:color w:val="auto"/>
                <w:sz w:val="18"/>
                <w:szCs w:val="18"/>
                <w:highlight w:val="none"/>
              </w:rPr>
            </w:pPr>
          </w:p>
        </w:tc>
        <w:tc>
          <w:tcPr>
            <w:tcW w:w="507" w:type="pct"/>
            <w:noWrap w:val="0"/>
            <w:vAlign w:val="center"/>
          </w:tcPr>
          <w:p w14:paraId="76E54A5A">
            <w:pPr>
              <w:adjustRightInd w:val="0"/>
              <w:snapToGrid w:val="0"/>
              <w:jc w:val="center"/>
              <w:rPr>
                <w:rFonts w:hAnsi="宋体" w:cs="宋体"/>
                <w:color w:val="auto"/>
                <w:sz w:val="18"/>
                <w:szCs w:val="18"/>
                <w:highlight w:val="none"/>
              </w:rPr>
            </w:pPr>
          </w:p>
        </w:tc>
      </w:tr>
      <w:tr w14:paraId="4F234D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04" w:type="pct"/>
            <w:noWrap w:val="0"/>
            <w:vAlign w:val="center"/>
          </w:tcPr>
          <w:p w14:paraId="34ACD5CE">
            <w:pPr>
              <w:adjustRightInd w:val="0"/>
              <w:snapToGrid w:val="0"/>
              <w:jc w:val="center"/>
              <w:rPr>
                <w:rFonts w:hAnsi="宋体" w:cs="宋体"/>
                <w:color w:val="auto"/>
                <w:szCs w:val="21"/>
                <w:highlight w:val="none"/>
              </w:rPr>
            </w:pPr>
          </w:p>
        </w:tc>
        <w:tc>
          <w:tcPr>
            <w:tcW w:w="864" w:type="pct"/>
            <w:noWrap w:val="0"/>
            <w:vAlign w:val="center"/>
          </w:tcPr>
          <w:p w14:paraId="66F1789B">
            <w:pPr>
              <w:adjustRightInd w:val="0"/>
              <w:snapToGrid w:val="0"/>
              <w:jc w:val="center"/>
              <w:rPr>
                <w:rFonts w:hAnsi="宋体" w:cs="宋体"/>
                <w:color w:val="auto"/>
                <w:szCs w:val="21"/>
                <w:highlight w:val="none"/>
              </w:rPr>
            </w:pPr>
          </w:p>
        </w:tc>
        <w:tc>
          <w:tcPr>
            <w:tcW w:w="1171" w:type="pct"/>
            <w:noWrap w:val="0"/>
            <w:vAlign w:val="center"/>
          </w:tcPr>
          <w:p w14:paraId="5B9BBA9E">
            <w:pPr>
              <w:adjustRightInd w:val="0"/>
              <w:snapToGrid w:val="0"/>
              <w:rPr>
                <w:rFonts w:hAnsi="宋体" w:cs="宋体"/>
                <w:color w:val="auto"/>
                <w:szCs w:val="21"/>
                <w:highlight w:val="none"/>
              </w:rPr>
            </w:pPr>
          </w:p>
        </w:tc>
        <w:tc>
          <w:tcPr>
            <w:tcW w:w="472" w:type="pct"/>
            <w:noWrap w:val="0"/>
            <w:vAlign w:val="center"/>
          </w:tcPr>
          <w:p w14:paraId="2CC28D7F">
            <w:pPr>
              <w:adjustRightInd w:val="0"/>
              <w:snapToGrid w:val="0"/>
              <w:jc w:val="center"/>
              <w:rPr>
                <w:rFonts w:hAnsi="宋体" w:cs="宋体"/>
                <w:color w:val="auto"/>
                <w:szCs w:val="21"/>
                <w:highlight w:val="none"/>
              </w:rPr>
            </w:pPr>
          </w:p>
        </w:tc>
        <w:tc>
          <w:tcPr>
            <w:tcW w:w="529" w:type="pct"/>
            <w:noWrap w:val="0"/>
            <w:vAlign w:val="center"/>
          </w:tcPr>
          <w:p w14:paraId="3E850A80">
            <w:pPr>
              <w:adjustRightInd w:val="0"/>
              <w:snapToGrid w:val="0"/>
              <w:jc w:val="center"/>
              <w:rPr>
                <w:rFonts w:hAnsi="宋体" w:cs="宋体"/>
                <w:color w:val="auto"/>
                <w:sz w:val="18"/>
                <w:szCs w:val="18"/>
                <w:highlight w:val="none"/>
              </w:rPr>
            </w:pPr>
          </w:p>
        </w:tc>
        <w:tc>
          <w:tcPr>
            <w:tcW w:w="472" w:type="pct"/>
            <w:noWrap w:val="0"/>
            <w:vAlign w:val="center"/>
          </w:tcPr>
          <w:p w14:paraId="762F2C77">
            <w:pPr>
              <w:adjustRightInd w:val="0"/>
              <w:snapToGrid w:val="0"/>
              <w:jc w:val="center"/>
              <w:rPr>
                <w:rFonts w:hAnsi="宋体" w:cs="宋体"/>
                <w:color w:val="auto"/>
                <w:sz w:val="18"/>
                <w:szCs w:val="18"/>
                <w:highlight w:val="none"/>
              </w:rPr>
            </w:pPr>
          </w:p>
        </w:tc>
        <w:tc>
          <w:tcPr>
            <w:tcW w:w="479" w:type="pct"/>
            <w:noWrap w:val="0"/>
            <w:vAlign w:val="center"/>
          </w:tcPr>
          <w:p w14:paraId="4CBBECF4">
            <w:pPr>
              <w:adjustRightInd w:val="0"/>
              <w:snapToGrid w:val="0"/>
              <w:jc w:val="center"/>
              <w:rPr>
                <w:rFonts w:hAnsi="宋体" w:cs="宋体"/>
                <w:color w:val="auto"/>
                <w:sz w:val="18"/>
                <w:szCs w:val="18"/>
                <w:highlight w:val="none"/>
              </w:rPr>
            </w:pPr>
          </w:p>
        </w:tc>
        <w:tc>
          <w:tcPr>
            <w:tcW w:w="507" w:type="pct"/>
            <w:noWrap w:val="0"/>
            <w:vAlign w:val="center"/>
          </w:tcPr>
          <w:p w14:paraId="6336099E">
            <w:pPr>
              <w:adjustRightInd w:val="0"/>
              <w:snapToGrid w:val="0"/>
              <w:jc w:val="center"/>
              <w:rPr>
                <w:rFonts w:hAnsi="宋体" w:cs="宋体"/>
                <w:color w:val="auto"/>
                <w:sz w:val="18"/>
                <w:szCs w:val="18"/>
                <w:highlight w:val="none"/>
              </w:rPr>
            </w:pPr>
          </w:p>
        </w:tc>
      </w:tr>
      <w:tr w14:paraId="7944A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04" w:type="pct"/>
            <w:noWrap w:val="0"/>
            <w:vAlign w:val="center"/>
          </w:tcPr>
          <w:p w14:paraId="016AB91A">
            <w:pPr>
              <w:adjustRightInd w:val="0"/>
              <w:snapToGrid w:val="0"/>
              <w:jc w:val="center"/>
              <w:rPr>
                <w:rFonts w:hAnsi="宋体" w:cs="宋体"/>
                <w:color w:val="auto"/>
                <w:szCs w:val="21"/>
                <w:highlight w:val="none"/>
              </w:rPr>
            </w:pPr>
          </w:p>
        </w:tc>
        <w:tc>
          <w:tcPr>
            <w:tcW w:w="864" w:type="pct"/>
            <w:noWrap w:val="0"/>
            <w:vAlign w:val="center"/>
          </w:tcPr>
          <w:p w14:paraId="6D45EB82">
            <w:pPr>
              <w:adjustRightInd w:val="0"/>
              <w:snapToGrid w:val="0"/>
              <w:jc w:val="center"/>
              <w:rPr>
                <w:rFonts w:hAnsi="宋体" w:cs="宋体"/>
                <w:color w:val="auto"/>
                <w:szCs w:val="21"/>
                <w:highlight w:val="none"/>
              </w:rPr>
            </w:pPr>
          </w:p>
        </w:tc>
        <w:tc>
          <w:tcPr>
            <w:tcW w:w="1171" w:type="pct"/>
            <w:noWrap w:val="0"/>
            <w:vAlign w:val="center"/>
          </w:tcPr>
          <w:p w14:paraId="3745D487">
            <w:pPr>
              <w:adjustRightInd w:val="0"/>
              <w:snapToGrid w:val="0"/>
              <w:rPr>
                <w:rFonts w:hAnsi="宋体" w:cs="宋体"/>
                <w:color w:val="auto"/>
                <w:szCs w:val="21"/>
                <w:highlight w:val="none"/>
              </w:rPr>
            </w:pPr>
          </w:p>
        </w:tc>
        <w:tc>
          <w:tcPr>
            <w:tcW w:w="472" w:type="pct"/>
            <w:noWrap w:val="0"/>
            <w:vAlign w:val="center"/>
          </w:tcPr>
          <w:p w14:paraId="6E260FA6">
            <w:pPr>
              <w:adjustRightInd w:val="0"/>
              <w:snapToGrid w:val="0"/>
              <w:jc w:val="center"/>
              <w:rPr>
                <w:rFonts w:hAnsi="宋体" w:cs="宋体"/>
                <w:color w:val="auto"/>
                <w:szCs w:val="21"/>
                <w:highlight w:val="none"/>
              </w:rPr>
            </w:pPr>
          </w:p>
        </w:tc>
        <w:tc>
          <w:tcPr>
            <w:tcW w:w="529" w:type="pct"/>
            <w:noWrap w:val="0"/>
            <w:vAlign w:val="center"/>
          </w:tcPr>
          <w:p w14:paraId="7CF258C3">
            <w:pPr>
              <w:adjustRightInd w:val="0"/>
              <w:snapToGrid w:val="0"/>
              <w:jc w:val="center"/>
              <w:rPr>
                <w:rFonts w:hAnsi="宋体" w:cs="宋体"/>
                <w:color w:val="auto"/>
                <w:sz w:val="18"/>
                <w:szCs w:val="18"/>
                <w:highlight w:val="none"/>
              </w:rPr>
            </w:pPr>
          </w:p>
        </w:tc>
        <w:tc>
          <w:tcPr>
            <w:tcW w:w="472" w:type="pct"/>
            <w:noWrap w:val="0"/>
            <w:vAlign w:val="center"/>
          </w:tcPr>
          <w:p w14:paraId="6301F32B">
            <w:pPr>
              <w:adjustRightInd w:val="0"/>
              <w:snapToGrid w:val="0"/>
              <w:jc w:val="center"/>
              <w:rPr>
                <w:rFonts w:hAnsi="宋体" w:cs="宋体"/>
                <w:color w:val="auto"/>
                <w:sz w:val="18"/>
                <w:szCs w:val="18"/>
                <w:highlight w:val="none"/>
              </w:rPr>
            </w:pPr>
          </w:p>
        </w:tc>
        <w:tc>
          <w:tcPr>
            <w:tcW w:w="479" w:type="pct"/>
            <w:noWrap w:val="0"/>
            <w:vAlign w:val="center"/>
          </w:tcPr>
          <w:p w14:paraId="4F4A6FDF">
            <w:pPr>
              <w:adjustRightInd w:val="0"/>
              <w:snapToGrid w:val="0"/>
              <w:jc w:val="center"/>
              <w:rPr>
                <w:rFonts w:hAnsi="宋体" w:cs="宋体"/>
                <w:color w:val="auto"/>
                <w:sz w:val="18"/>
                <w:szCs w:val="18"/>
                <w:highlight w:val="none"/>
              </w:rPr>
            </w:pPr>
          </w:p>
        </w:tc>
        <w:tc>
          <w:tcPr>
            <w:tcW w:w="507" w:type="pct"/>
            <w:noWrap w:val="0"/>
            <w:vAlign w:val="center"/>
          </w:tcPr>
          <w:p w14:paraId="21FBE5F1">
            <w:pPr>
              <w:adjustRightInd w:val="0"/>
              <w:snapToGrid w:val="0"/>
              <w:jc w:val="center"/>
              <w:rPr>
                <w:rFonts w:hAnsi="宋体" w:cs="宋体"/>
                <w:color w:val="auto"/>
                <w:sz w:val="18"/>
                <w:szCs w:val="18"/>
                <w:highlight w:val="none"/>
              </w:rPr>
            </w:pPr>
          </w:p>
        </w:tc>
      </w:tr>
      <w:tr w14:paraId="39796B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3541" w:type="pct"/>
            <w:gridSpan w:val="5"/>
            <w:noWrap w:val="0"/>
            <w:vAlign w:val="center"/>
          </w:tcPr>
          <w:p w14:paraId="1313A31B">
            <w:pPr>
              <w:adjustRightInd w:val="0"/>
              <w:snapToGrid w:val="0"/>
              <w:jc w:val="center"/>
              <w:rPr>
                <w:rFonts w:hint="eastAsia" w:hAnsi="宋体" w:eastAsia="宋体" w:cs="宋体"/>
                <w:color w:val="auto"/>
                <w:sz w:val="18"/>
                <w:szCs w:val="18"/>
                <w:highlight w:val="none"/>
                <w:lang w:val="en-US" w:eastAsia="zh-CN"/>
              </w:rPr>
            </w:pPr>
            <w:r>
              <w:rPr>
                <w:rFonts w:hint="eastAsia" w:hAnsi="宋体" w:cs="宋体"/>
                <w:b/>
                <w:bCs/>
                <w:color w:val="auto"/>
                <w:sz w:val="18"/>
                <w:szCs w:val="18"/>
                <w:highlight w:val="none"/>
                <w:lang w:val="en-US" w:eastAsia="zh-CN"/>
              </w:rPr>
              <w:t>总计</w:t>
            </w:r>
          </w:p>
        </w:tc>
        <w:tc>
          <w:tcPr>
            <w:tcW w:w="1458" w:type="pct"/>
            <w:gridSpan w:val="3"/>
            <w:noWrap w:val="0"/>
            <w:vAlign w:val="center"/>
          </w:tcPr>
          <w:p w14:paraId="31C207F3">
            <w:pPr>
              <w:adjustRightInd w:val="0"/>
              <w:snapToGrid w:val="0"/>
              <w:jc w:val="center"/>
              <w:rPr>
                <w:rFonts w:hAnsi="宋体" w:cs="宋体"/>
                <w:color w:val="auto"/>
                <w:sz w:val="18"/>
                <w:szCs w:val="18"/>
                <w:highlight w:val="none"/>
              </w:rPr>
            </w:pPr>
          </w:p>
        </w:tc>
      </w:tr>
    </w:tbl>
    <w:p w14:paraId="6C7BBA4C">
      <w:pPr>
        <w:shd w:val="clear" w:color="auto" w:fill="auto"/>
        <w:spacing w:line="360" w:lineRule="exac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说明：1. </w:t>
      </w:r>
      <w:r>
        <w:rPr>
          <w:rFonts w:hint="eastAsia" w:ascii="宋体" w:hAnsi="宋体" w:cs="宋体"/>
          <w:b/>
          <w:color w:val="auto"/>
          <w:sz w:val="22"/>
          <w:szCs w:val="22"/>
          <w:highlight w:val="none"/>
          <w:lang w:val="en-US" w:eastAsia="zh-CN"/>
        </w:rPr>
        <w:t>本表总计</w:t>
      </w:r>
      <w:r>
        <w:rPr>
          <w:rFonts w:hint="eastAsia" w:ascii="宋体" w:hAnsi="宋体" w:eastAsia="宋体" w:cs="宋体"/>
          <w:b/>
          <w:color w:val="auto"/>
          <w:sz w:val="22"/>
          <w:szCs w:val="22"/>
          <w:highlight w:val="none"/>
        </w:rPr>
        <w:t>应与附件三“开标一览表”中投标报价相一致。</w:t>
      </w:r>
    </w:p>
    <w:p w14:paraId="2A2A5C57">
      <w:pPr>
        <w:shd w:val="clear" w:color="auto" w:fill="auto"/>
        <w:spacing w:line="360" w:lineRule="exact"/>
        <w:ind w:firstLine="649" w:firstLineChars="294"/>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 ▲</w:t>
      </w:r>
      <w:r>
        <w:rPr>
          <w:rFonts w:hint="eastAsia" w:ascii="宋体" w:hAnsi="宋体" w:eastAsia="宋体" w:cs="宋体"/>
          <w:b/>
          <w:color w:val="auto"/>
          <w:sz w:val="22"/>
          <w:szCs w:val="22"/>
          <w:highlight w:val="none"/>
          <w:u w:val="single"/>
        </w:rPr>
        <w:t>不提供</w:t>
      </w:r>
      <w:r>
        <w:rPr>
          <w:rFonts w:hint="eastAsia" w:ascii="宋体" w:hAnsi="宋体" w:cs="宋体"/>
          <w:b/>
          <w:color w:val="auto"/>
          <w:sz w:val="22"/>
          <w:szCs w:val="22"/>
          <w:highlight w:val="none"/>
          <w:u w:val="single"/>
          <w:lang w:val="en-US" w:eastAsia="zh-CN"/>
        </w:rPr>
        <w:t>本表</w:t>
      </w:r>
      <w:r>
        <w:rPr>
          <w:rFonts w:hint="eastAsia" w:ascii="宋体" w:hAnsi="宋体" w:eastAsia="宋体" w:cs="宋体"/>
          <w:b/>
          <w:color w:val="auto"/>
          <w:sz w:val="22"/>
          <w:szCs w:val="22"/>
          <w:highlight w:val="none"/>
          <w:u w:val="single"/>
        </w:rPr>
        <w:t>将视为没有实质性响应采购文件，作无效标处理</w:t>
      </w:r>
      <w:r>
        <w:rPr>
          <w:rFonts w:hint="eastAsia" w:ascii="宋体" w:hAnsi="宋体" w:eastAsia="宋体" w:cs="宋体"/>
          <w:b/>
          <w:color w:val="auto"/>
          <w:sz w:val="22"/>
          <w:szCs w:val="22"/>
          <w:highlight w:val="none"/>
        </w:rPr>
        <w:t>。</w:t>
      </w:r>
    </w:p>
    <w:p w14:paraId="647315B1">
      <w:pPr>
        <w:shd w:val="clear" w:color="auto" w:fill="auto"/>
        <w:spacing w:line="360" w:lineRule="exact"/>
        <w:ind w:firstLine="649" w:firstLineChars="294"/>
        <w:rPr>
          <w:rFonts w:hint="eastAsia" w:ascii="宋体" w:hAnsi="宋体" w:eastAsia="宋体" w:cs="宋体"/>
          <w:b/>
          <w:color w:val="auto"/>
          <w:sz w:val="22"/>
          <w:szCs w:val="22"/>
          <w:highlight w:val="none"/>
        </w:rPr>
      </w:pPr>
      <w:r>
        <w:rPr>
          <w:rFonts w:hint="eastAsia" w:ascii="宋体" w:hAnsi="宋体" w:cs="宋体"/>
          <w:b/>
          <w:color w:val="auto"/>
          <w:sz w:val="22"/>
          <w:szCs w:val="22"/>
          <w:highlight w:val="none"/>
          <w:lang w:val="en-US" w:eastAsia="zh-CN"/>
        </w:rPr>
        <w:t>3</w:t>
      </w:r>
      <w:r>
        <w:rPr>
          <w:rFonts w:hint="eastAsia" w:ascii="宋体" w:hAnsi="宋体" w:eastAsia="宋体" w:cs="宋体"/>
          <w:b/>
          <w:color w:val="auto"/>
          <w:sz w:val="22"/>
          <w:szCs w:val="22"/>
          <w:highlight w:val="none"/>
        </w:rPr>
        <w:t>．本表可在不改变格式的情况下根据具体费用自行</w:t>
      </w:r>
      <w:r>
        <w:rPr>
          <w:rFonts w:hint="eastAsia" w:ascii="宋体" w:hAnsi="宋体" w:cs="宋体"/>
          <w:b/>
          <w:color w:val="auto"/>
          <w:sz w:val="22"/>
          <w:szCs w:val="22"/>
          <w:highlight w:val="none"/>
          <w:lang w:val="en-US" w:eastAsia="zh-CN"/>
        </w:rPr>
        <w:t>增加</w:t>
      </w:r>
      <w:r>
        <w:rPr>
          <w:rFonts w:hint="eastAsia" w:ascii="宋体" w:hAnsi="宋体" w:eastAsia="宋体" w:cs="宋体"/>
          <w:b/>
          <w:color w:val="auto"/>
          <w:sz w:val="22"/>
          <w:szCs w:val="22"/>
          <w:highlight w:val="none"/>
        </w:rPr>
        <w:t>。</w:t>
      </w:r>
    </w:p>
    <w:p w14:paraId="427F5882">
      <w:pPr>
        <w:shd w:val="clear" w:color="auto" w:fill="auto"/>
        <w:spacing w:line="360" w:lineRule="exact"/>
        <w:ind w:right="840"/>
        <w:jc w:val="right"/>
        <w:rPr>
          <w:rFonts w:hint="eastAsia" w:ascii="宋体" w:hAnsi="宋体" w:eastAsia="宋体" w:cs="宋体"/>
          <w:color w:val="auto"/>
          <w:sz w:val="22"/>
          <w:szCs w:val="22"/>
          <w:highlight w:val="none"/>
        </w:rPr>
      </w:pPr>
    </w:p>
    <w:p w14:paraId="5C0E035B">
      <w:pPr>
        <w:shd w:val="clear" w:color="auto" w:fill="auto"/>
        <w:spacing w:line="360" w:lineRule="exact"/>
        <w:ind w:right="840"/>
        <w:jc w:val="right"/>
        <w:rPr>
          <w:rFonts w:hint="eastAsia" w:ascii="宋体" w:hAnsi="宋体" w:eastAsia="宋体" w:cs="宋体"/>
          <w:color w:val="auto"/>
          <w:sz w:val="22"/>
          <w:szCs w:val="22"/>
          <w:highlight w:val="none"/>
        </w:rPr>
      </w:pPr>
    </w:p>
    <w:p w14:paraId="0119385F">
      <w:pPr>
        <w:shd w:val="clear" w:color="auto" w:fill="auto"/>
        <w:spacing w:line="360" w:lineRule="exact"/>
        <w:ind w:right="840"/>
        <w:jc w:val="right"/>
        <w:rPr>
          <w:rFonts w:hint="eastAsia" w:ascii="宋体" w:hAnsi="宋体" w:eastAsia="宋体" w:cs="宋体"/>
          <w:color w:val="auto"/>
          <w:sz w:val="22"/>
          <w:szCs w:val="22"/>
          <w:highlight w:val="none"/>
        </w:rPr>
      </w:pPr>
    </w:p>
    <w:p w14:paraId="7480AC35">
      <w:pPr>
        <w:shd w:val="clear" w:color="auto" w:fill="auto"/>
        <w:spacing w:line="3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投标人名称（盖章）：</w:t>
      </w:r>
    </w:p>
    <w:p w14:paraId="4597EE5A">
      <w:pPr>
        <w:shd w:val="clear" w:color="auto" w:fill="auto"/>
        <w:spacing w:line="3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14:paraId="1C909536">
      <w:pPr>
        <w:shd w:val="clear" w:color="auto" w:fill="auto"/>
        <w:spacing w:line="3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  年   月   日</w:t>
      </w:r>
    </w:p>
    <w:p w14:paraId="3E3A3FC0">
      <w:pPr>
        <w:shd w:val="clear" w:color="auto" w:fill="auto"/>
        <w:spacing w:line="360" w:lineRule="exact"/>
        <w:ind w:firstLine="435"/>
        <w:jc w:val="center"/>
        <w:rPr>
          <w:rFonts w:hint="eastAsia" w:ascii="宋体" w:hAnsi="宋体" w:eastAsia="宋体" w:cs="宋体"/>
          <w:b/>
          <w:bCs/>
          <w:color w:val="auto"/>
          <w:sz w:val="28"/>
          <w:szCs w:val="28"/>
          <w:highlight w:val="none"/>
        </w:rPr>
      </w:pPr>
    </w:p>
    <w:p w14:paraId="5B4270CA">
      <w:pPr>
        <w:shd w:val="clear" w:color="auto" w:fill="auto"/>
        <w:spacing w:line="360" w:lineRule="exact"/>
        <w:ind w:firstLine="4417" w:firstLineChars="20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br w:type="page"/>
      </w:r>
    </w:p>
    <w:p w14:paraId="401877B5">
      <w:pPr>
        <w:shd w:val="clear" w:color="auto" w:fill="auto"/>
        <w:spacing w:line="360" w:lineRule="exact"/>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五</w:t>
      </w:r>
    </w:p>
    <w:p w14:paraId="60CF76E9">
      <w:pPr>
        <w:shd w:val="clear" w:color="auto" w:fill="auto"/>
        <w:spacing w:line="360" w:lineRule="exact"/>
        <w:ind w:firstLine="437"/>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技术规格、商务条款偏离表</w:t>
      </w:r>
    </w:p>
    <w:p w14:paraId="2593749A">
      <w:pPr>
        <w:shd w:val="clear" w:color="auto" w:fill="auto"/>
        <w:spacing w:line="360" w:lineRule="exact"/>
        <w:rPr>
          <w:rFonts w:hint="eastAsia" w:ascii="宋体" w:hAnsi="宋体" w:eastAsia="宋体" w:cs="宋体"/>
          <w:b/>
          <w:bCs/>
          <w:color w:val="auto"/>
          <w:sz w:val="22"/>
          <w:szCs w:val="22"/>
          <w:highlight w:val="none"/>
        </w:rPr>
      </w:pPr>
      <w:r>
        <w:rPr>
          <w:rFonts w:hint="eastAsia" w:ascii="宋体" w:hAnsi="宋体" w:eastAsia="宋体" w:cs="宋体"/>
          <w:b/>
          <w:color w:val="auto"/>
          <w:sz w:val="22"/>
          <w:szCs w:val="22"/>
          <w:highlight w:val="none"/>
        </w:rPr>
        <w:t>项目名称：                                          项目编号：</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364"/>
        <w:gridCol w:w="2097"/>
        <w:gridCol w:w="1992"/>
        <w:gridCol w:w="1866"/>
        <w:gridCol w:w="1592"/>
      </w:tblGrid>
      <w:tr w14:paraId="17F4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0" w:hRule="atLeast"/>
          <w:jc w:val="center"/>
        </w:trPr>
        <w:tc>
          <w:tcPr>
            <w:tcW w:w="943" w:type="dxa"/>
            <w:noWrap w:val="0"/>
            <w:vAlign w:val="top"/>
          </w:tcPr>
          <w:p w14:paraId="03A00046">
            <w:pPr>
              <w:shd w:val="clear" w:color="auto" w:fill="auto"/>
              <w:spacing w:line="360" w:lineRule="exact"/>
              <w:jc w:val="center"/>
              <w:rPr>
                <w:rFonts w:hint="eastAsia" w:ascii="宋体" w:hAnsi="宋体" w:eastAsia="宋体" w:cs="宋体"/>
                <w:color w:val="auto"/>
                <w:szCs w:val="21"/>
                <w:highlight w:val="none"/>
              </w:rPr>
            </w:pPr>
          </w:p>
        </w:tc>
        <w:tc>
          <w:tcPr>
            <w:tcW w:w="1364" w:type="dxa"/>
            <w:noWrap w:val="0"/>
            <w:vAlign w:val="center"/>
          </w:tcPr>
          <w:p w14:paraId="6B11613D">
            <w:pPr>
              <w:shd w:val="clear" w:color="auto" w:fill="auto"/>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097" w:type="dxa"/>
            <w:noWrap w:val="0"/>
            <w:vAlign w:val="center"/>
          </w:tcPr>
          <w:p w14:paraId="7615E424">
            <w:pPr>
              <w:shd w:val="clear" w:color="auto" w:fill="auto"/>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采购文件</w:t>
            </w:r>
          </w:p>
          <w:p w14:paraId="742CDB7A">
            <w:pPr>
              <w:shd w:val="clear" w:color="auto" w:fill="auto"/>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条目号</w:t>
            </w:r>
          </w:p>
        </w:tc>
        <w:tc>
          <w:tcPr>
            <w:tcW w:w="1992" w:type="dxa"/>
            <w:noWrap w:val="0"/>
            <w:vAlign w:val="center"/>
          </w:tcPr>
          <w:p w14:paraId="3B95AD8A">
            <w:pPr>
              <w:shd w:val="clear" w:color="auto" w:fill="auto"/>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采购文件</w:t>
            </w:r>
          </w:p>
          <w:p w14:paraId="41977A33">
            <w:pPr>
              <w:shd w:val="clear" w:color="auto" w:fill="auto"/>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规范要求</w:t>
            </w:r>
          </w:p>
        </w:tc>
        <w:tc>
          <w:tcPr>
            <w:tcW w:w="1866" w:type="dxa"/>
            <w:noWrap w:val="0"/>
            <w:vAlign w:val="center"/>
          </w:tcPr>
          <w:p w14:paraId="1748734F">
            <w:pPr>
              <w:shd w:val="clear" w:color="auto" w:fill="auto"/>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w:t>
            </w:r>
          </w:p>
          <w:p w14:paraId="02E75EE4">
            <w:pPr>
              <w:shd w:val="clear" w:color="auto" w:fill="auto"/>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对应规范</w:t>
            </w:r>
          </w:p>
        </w:tc>
        <w:tc>
          <w:tcPr>
            <w:tcW w:w="1592" w:type="dxa"/>
            <w:noWrap w:val="0"/>
            <w:vAlign w:val="center"/>
          </w:tcPr>
          <w:p w14:paraId="280D7F88">
            <w:pPr>
              <w:shd w:val="clear" w:color="auto" w:fill="auto"/>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r>
      <w:tr w14:paraId="1F982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943" w:type="dxa"/>
            <w:vMerge w:val="restart"/>
            <w:noWrap w:val="0"/>
            <w:vAlign w:val="center"/>
          </w:tcPr>
          <w:p w14:paraId="5DFB5F18">
            <w:pPr>
              <w:shd w:val="clear" w:color="auto" w:fill="auto"/>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w:t>
            </w:r>
          </w:p>
          <w:p w14:paraId="18C5A87F">
            <w:pPr>
              <w:shd w:val="clear" w:color="auto" w:fill="auto"/>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术</w:t>
            </w:r>
          </w:p>
          <w:p w14:paraId="62934713">
            <w:pPr>
              <w:shd w:val="clear" w:color="auto" w:fill="auto"/>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w:t>
            </w:r>
          </w:p>
          <w:p w14:paraId="2F4448A6">
            <w:pPr>
              <w:shd w:val="clear" w:color="auto" w:fill="auto"/>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格</w:t>
            </w:r>
          </w:p>
        </w:tc>
        <w:tc>
          <w:tcPr>
            <w:tcW w:w="1364" w:type="dxa"/>
            <w:noWrap w:val="0"/>
            <w:vAlign w:val="center"/>
          </w:tcPr>
          <w:p w14:paraId="51E7BE2E">
            <w:pPr>
              <w:shd w:val="clear" w:color="auto" w:fill="auto"/>
              <w:spacing w:line="360" w:lineRule="exact"/>
              <w:jc w:val="center"/>
              <w:rPr>
                <w:rFonts w:hint="eastAsia" w:ascii="宋体" w:hAnsi="宋体" w:eastAsia="宋体" w:cs="宋体"/>
                <w:color w:val="auto"/>
                <w:szCs w:val="21"/>
                <w:highlight w:val="none"/>
              </w:rPr>
            </w:pPr>
          </w:p>
        </w:tc>
        <w:tc>
          <w:tcPr>
            <w:tcW w:w="2097" w:type="dxa"/>
            <w:noWrap w:val="0"/>
            <w:vAlign w:val="center"/>
          </w:tcPr>
          <w:p w14:paraId="22EF6A5F">
            <w:pPr>
              <w:shd w:val="clear" w:color="auto" w:fill="auto"/>
              <w:spacing w:line="360" w:lineRule="exact"/>
              <w:jc w:val="center"/>
              <w:rPr>
                <w:rFonts w:hint="eastAsia" w:ascii="宋体" w:hAnsi="宋体" w:eastAsia="宋体" w:cs="宋体"/>
                <w:color w:val="auto"/>
                <w:szCs w:val="21"/>
                <w:highlight w:val="none"/>
              </w:rPr>
            </w:pPr>
          </w:p>
        </w:tc>
        <w:tc>
          <w:tcPr>
            <w:tcW w:w="1992" w:type="dxa"/>
            <w:noWrap w:val="0"/>
            <w:vAlign w:val="center"/>
          </w:tcPr>
          <w:p w14:paraId="6B6830FC">
            <w:pPr>
              <w:shd w:val="clear" w:color="auto" w:fill="auto"/>
              <w:spacing w:line="360" w:lineRule="exact"/>
              <w:jc w:val="center"/>
              <w:rPr>
                <w:rFonts w:hint="eastAsia" w:ascii="宋体" w:hAnsi="宋体" w:eastAsia="宋体" w:cs="宋体"/>
                <w:color w:val="auto"/>
                <w:szCs w:val="21"/>
                <w:highlight w:val="none"/>
              </w:rPr>
            </w:pPr>
          </w:p>
        </w:tc>
        <w:tc>
          <w:tcPr>
            <w:tcW w:w="1866" w:type="dxa"/>
            <w:noWrap w:val="0"/>
            <w:vAlign w:val="center"/>
          </w:tcPr>
          <w:p w14:paraId="2BA8066C">
            <w:pPr>
              <w:shd w:val="clear" w:color="auto" w:fill="auto"/>
              <w:spacing w:line="360" w:lineRule="exact"/>
              <w:jc w:val="center"/>
              <w:rPr>
                <w:rFonts w:hint="eastAsia" w:ascii="宋体" w:hAnsi="宋体" w:eastAsia="宋体" w:cs="宋体"/>
                <w:color w:val="auto"/>
                <w:szCs w:val="21"/>
                <w:highlight w:val="none"/>
              </w:rPr>
            </w:pPr>
          </w:p>
        </w:tc>
        <w:tc>
          <w:tcPr>
            <w:tcW w:w="1592" w:type="dxa"/>
            <w:noWrap w:val="0"/>
            <w:vAlign w:val="center"/>
          </w:tcPr>
          <w:p w14:paraId="2C44915B">
            <w:pPr>
              <w:shd w:val="clear" w:color="auto" w:fill="auto"/>
              <w:spacing w:line="360" w:lineRule="exact"/>
              <w:jc w:val="center"/>
              <w:rPr>
                <w:rFonts w:hint="eastAsia" w:ascii="宋体" w:hAnsi="宋体" w:eastAsia="宋体" w:cs="宋体"/>
                <w:color w:val="auto"/>
                <w:szCs w:val="21"/>
                <w:highlight w:val="none"/>
              </w:rPr>
            </w:pPr>
          </w:p>
        </w:tc>
      </w:tr>
      <w:tr w14:paraId="6682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7D0134C6">
            <w:pPr>
              <w:shd w:val="clear" w:color="auto" w:fill="auto"/>
              <w:spacing w:line="360" w:lineRule="exact"/>
              <w:ind w:firstLine="210" w:firstLineChars="100"/>
              <w:rPr>
                <w:rFonts w:hint="eastAsia" w:ascii="宋体" w:hAnsi="宋体" w:eastAsia="宋体" w:cs="宋体"/>
                <w:color w:val="auto"/>
                <w:szCs w:val="21"/>
                <w:highlight w:val="none"/>
              </w:rPr>
            </w:pPr>
          </w:p>
        </w:tc>
        <w:tc>
          <w:tcPr>
            <w:tcW w:w="1364" w:type="dxa"/>
            <w:noWrap w:val="0"/>
            <w:vAlign w:val="center"/>
          </w:tcPr>
          <w:p w14:paraId="6B6D41EA">
            <w:pPr>
              <w:shd w:val="clear" w:color="auto" w:fill="auto"/>
              <w:spacing w:line="360" w:lineRule="exact"/>
              <w:jc w:val="center"/>
              <w:rPr>
                <w:rFonts w:hint="eastAsia" w:ascii="宋体" w:hAnsi="宋体" w:eastAsia="宋体" w:cs="宋体"/>
                <w:color w:val="auto"/>
                <w:szCs w:val="21"/>
                <w:highlight w:val="none"/>
              </w:rPr>
            </w:pPr>
          </w:p>
        </w:tc>
        <w:tc>
          <w:tcPr>
            <w:tcW w:w="2097" w:type="dxa"/>
            <w:noWrap w:val="0"/>
            <w:vAlign w:val="center"/>
          </w:tcPr>
          <w:p w14:paraId="458B7645">
            <w:pPr>
              <w:shd w:val="clear" w:color="auto" w:fill="auto"/>
              <w:spacing w:line="360" w:lineRule="exact"/>
              <w:jc w:val="center"/>
              <w:rPr>
                <w:rFonts w:hint="eastAsia" w:ascii="宋体" w:hAnsi="宋体" w:eastAsia="宋体" w:cs="宋体"/>
                <w:color w:val="auto"/>
                <w:szCs w:val="21"/>
                <w:highlight w:val="none"/>
              </w:rPr>
            </w:pPr>
          </w:p>
        </w:tc>
        <w:tc>
          <w:tcPr>
            <w:tcW w:w="1992" w:type="dxa"/>
            <w:noWrap w:val="0"/>
            <w:vAlign w:val="center"/>
          </w:tcPr>
          <w:p w14:paraId="51F5E53C">
            <w:pPr>
              <w:shd w:val="clear" w:color="auto" w:fill="auto"/>
              <w:spacing w:line="360" w:lineRule="exact"/>
              <w:jc w:val="center"/>
              <w:rPr>
                <w:rFonts w:hint="eastAsia" w:ascii="宋体" w:hAnsi="宋体" w:eastAsia="宋体" w:cs="宋体"/>
                <w:color w:val="auto"/>
                <w:szCs w:val="21"/>
                <w:highlight w:val="none"/>
              </w:rPr>
            </w:pPr>
          </w:p>
        </w:tc>
        <w:tc>
          <w:tcPr>
            <w:tcW w:w="1866" w:type="dxa"/>
            <w:noWrap w:val="0"/>
            <w:vAlign w:val="center"/>
          </w:tcPr>
          <w:p w14:paraId="021C735F">
            <w:pPr>
              <w:shd w:val="clear" w:color="auto" w:fill="auto"/>
              <w:spacing w:line="360" w:lineRule="exact"/>
              <w:jc w:val="center"/>
              <w:rPr>
                <w:rFonts w:hint="eastAsia" w:ascii="宋体" w:hAnsi="宋体" w:eastAsia="宋体" w:cs="宋体"/>
                <w:color w:val="auto"/>
                <w:szCs w:val="21"/>
                <w:highlight w:val="none"/>
              </w:rPr>
            </w:pPr>
          </w:p>
        </w:tc>
        <w:tc>
          <w:tcPr>
            <w:tcW w:w="1592" w:type="dxa"/>
            <w:noWrap w:val="0"/>
            <w:vAlign w:val="center"/>
          </w:tcPr>
          <w:p w14:paraId="4C562874">
            <w:pPr>
              <w:shd w:val="clear" w:color="auto" w:fill="auto"/>
              <w:spacing w:line="360" w:lineRule="exact"/>
              <w:jc w:val="center"/>
              <w:rPr>
                <w:rFonts w:hint="eastAsia" w:ascii="宋体" w:hAnsi="宋体" w:eastAsia="宋体" w:cs="宋体"/>
                <w:color w:val="auto"/>
                <w:szCs w:val="21"/>
                <w:highlight w:val="none"/>
              </w:rPr>
            </w:pPr>
          </w:p>
        </w:tc>
      </w:tr>
      <w:tr w14:paraId="5B7C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710EED0F">
            <w:pPr>
              <w:shd w:val="clear" w:color="auto" w:fill="auto"/>
              <w:spacing w:line="360" w:lineRule="exact"/>
              <w:jc w:val="center"/>
              <w:rPr>
                <w:rFonts w:hint="eastAsia" w:ascii="宋体" w:hAnsi="宋体" w:eastAsia="宋体" w:cs="宋体"/>
                <w:color w:val="auto"/>
                <w:szCs w:val="21"/>
                <w:highlight w:val="none"/>
              </w:rPr>
            </w:pPr>
          </w:p>
        </w:tc>
        <w:tc>
          <w:tcPr>
            <w:tcW w:w="1364" w:type="dxa"/>
            <w:noWrap w:val="0"/>
            <w:vAlign w:val="center"/>
          </w:tcPr>
          <w:p w14:paraId="39140909">
            <w:pPr>
              <w:shd w:val="clear" w:color="auto" w:fill="auto"/>
              <w:spacing w:line="360" w:lineRule="exact"/>
              <w:jc w:val="center"/>
              <w:rPr>
                <w:rFonts w:hint="eastAsia" w:ascii="宋体" w:hAnsi="宋体" w:eastAsia="宋体" w:cs="宋体"/>
                <w:color w:val="auto"/>
                <w:szCs w:val="21"/>
                <w:highlight w:val="none"/>
              </w:rPr>
            </w:pPr>
          </w:p>
        </w:tc>
        <w:tc>
          <w:tcPr>
            <w:tcW w:w="2097" w:type="dxa"/>
            <w:noWrap w:val="0"/>
            <w:vAlign w:val="center"/>
          </w:tcPr>
          <w:p w14:paraId="0BA883CB">
            <w:pPr>
              <w:shd w:val="clear" w:color="auto" w:fill="auto"/>
              <w:spacing w:line="360" w:lineRule="exact"/>
              <w:jc w:val="center"/>
              <w:rPr>
                <w:rFonts w:hint="eastAsia" w:ascii="宋体" w:hAnsi="宋体" w:eastAsia="宋体" w:cs="宋体"/>
                <w:color w:val="auto"/>
                <w:szCs w:val="21"/>
                <w:highlight w:val="none"/>
              </w:rPr>
            </w:pPr>
          </w:p>
        </w:tc>
        <w:tc>
          <w:tcPr>
            <w:tcW w:w="1992" w:type="dxa"/>
            <w:noWrap w:val="0"/>
            <w:vAlign w:val="center"/>
          </w:tcPr>
          <w:p w14:paraId="1AD81896">
            <w:pPr>
              <w:shd w:val="clear" w:color="auto" w:fill="auto"/>
              <w:spacing w:line="360" w:lineRule="exact"/>
              <w:jc w:val="center"/>
              <w:rPr>
                <w:rFonts w:hint="eastAsia" w:ascii="宋体" w:hAnsi="宋体" w:eastAsia="宋体" w:cs="宋体"/>
                <w:color w:val="auto"/>
                <w:szCs w:val="21"/>
                <w:highlight w:val="none"/>
              </w:rPr>
            </w:pPr>
          </w:p>
        </w:tc>
        <w:tc>
          <w:tcPr>
            <w:tcW w:w="1866" w:type="dxa"/>
            <w:noWrap w:val="0"/>
            <w:vAlign w:val="center"/>
          </w:tcPr>
          <w:p w14:paraId="5D2BBA13">
            <w:pPr>
              <w:shd w:val="clear" w:color="auto" w:fill="auto"/>
              <w:spacing w:line="360" w:lineRule="exact"/>
              <w:jc w:val="center"/>
              <w:rPr>
                <w:rFonts w:hint="eastAsia" w:ascii="宋体" w:hAnsi="宋体" w:eastAsia="宋体" w:cs="宋体"/>
                <w:color w:val="auto"/>
                <w:szCs w:val="21"/>
                <w:highlight w:val="none"/>
              </w:rPr>
            </w:pPr>
          </w:p>
        </w:tc>
        <w:tc>
          <w:tcPr>
            <w:tcW w:w="1592" w:type="dxa"/>
            <w:noWrap w:val="0"/>
            <w:vAlign w:val="center"/>
          </w:tcPr>
          <w:p w14:paraId="7580A695">
            <w:pPr>
              <w:shd w:val="clear" w:color="auto" w:fill="auto"/>
              <w:spacing w:line="360" w:lineRule="exact"/>
              <w:jc w:val="center"/>
              <w:rPr>
                <w:rFonts w:hint="eastAsia" w:ascii="宋体" w:hAnsi="宋体" w:eastAsia="宋体" w:cs="宋体"/>
                <w:color w:val="auto"/>
                <w:szCs w:val="21"/>
                <w:highlight w:val="none"/>
              </w:rPr>
            </w:pPr>
          </w:p>
        </w:tc>
      </w:tr>
      <w:tr w14:paraId="3CFD3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372A1887">
            <w:pPr>
              <w:shd w:val="clear" w:color="auto" w:fill="auto"/>
              <w:spacing w:line="360" w:lineRule="exact"/>
              <w:jc w:val="center"/>
              <w:rPr>
                <w:rFonts w:hint="eastAsia" w:ascii="宋体" w:hAnsi="宋体" w:eastAsia="宋体" w:cs="宋体"/>
                <w:color w:val="auto"/>
                <w:szCs w:val="21"/>
                <w:highlight w:val="none"/>
              </w:rPr>
            </w:pPr>
          </w:p>
        </w:tc>
        <w:tc>
          <w:tcPr>
            <w:tcW w:w="1364" w:type="dxa"/>
            <w:noWrap w:val="0"/>
            <w:vAlign w:val="center"/>
          </w:tcPr>
          <w:p w14:paraId="798C6F43">
            <w:pPr>
              <w:shd w:val="clear" w:color="auto" w:fill="auto"/>
              <w:spacing w:line="360" w:lineRule="exact"/>
              <w:jc w:val="center"/>
              <w:rPr>
                <w:rFonts w:hint="eastAsia" w:ascii="宋体" w:hAnsi="宋体" w:eastAsia="宋体" w:cs="宋体"/>
                <w:color w:val="auto"/>
                <w:szCs w:val="21"/>
                <w:highlight w:val="none"/>
              </w:rPr>
            </w:pPr>
          </w:p>
        </w:tc>
        <w:tc>
          <w:tcPr>
            <w:tcW w:w="2097" w:type="dxa"/>
            <w:noWrap w:val="0"/>
            <w:vAlign w:val="center"/>
          </w:tcPr>
          <w:p w14:paraId="0B9C4561">
            <w:pPr>
              <w:shd w:val="clear" w:color="auto" w:fill="auto"/>
              <w:spacing w:line="360" w:lineRule="exact"/>
              <w:jc w:val="center"/>
              <w:rPr>
                <w:rFonts w:hint="eastAsia" w:ascii="宋体" w:hAnsi="宋体" w:eastAsia="宋体" w:cs="宋体"/>
                <w:color w:val="auto"/>
                <w:szCs w:val="21"/>
                <w:highlight w:val="none"/>
              </w:rPr>
            </w:pPr>
          </w:p>
        </w:tc>
        <w:tc>
          <w:tcPr>
            <w:tcW w:w="1992" w:type="dxa"/>
            <w:noWrap w:val="0"/>
            <w:vAlign w:val="center"/>
          </w:tcPr>
          <w:p w14:paraId="0B6F5634">
            <w:pPr>
              <w:shd w:val="clear" w:color="auto" w:fill="auto"/>
              <w:spacing w:line="360" w:lineRule="exact"/>
              <w:jc w:val="center"/>
              <w:rPr>
                <w:rFonts w:hint="eastAsia" w:ascii="宋体" w:hAnsi="宋体" w:eastAsia="宋体" w:cs="宋体"/>
                <w:color w:val="auto"/>
                <w:szCs w:val="21"/>
                <w:highlight w:val="none"/>
              </w:rPr>
            </w:pPr>
          </w:p>
        </w:tc>
        <w:tc>
          <w:tcPr>
            <w:tcW w:w="1866" w:type="dxa"/>
            <w:noWrap w:val="0"/>
            <w:vAlign w:val="center"/>
          </w:tcPr>
          <w:p w14:paraId="32858525">
            <w:pPr>
              <w:shd w:val="clear" w:color="auto" w:fill="auto"/>
              <w:spacing w:line="360" w:lineRule="exact"/>
              <w:jc w:val="center"/>
              <w:rPr>
                <w:rFonts w:hint="eastAsia" w:ascii="宋体" w:hAnsi="宋体" w:eastAsia="宋体" w:cs="宋体"/>
                <w:color w:val="auto"/>
                <w:szCs w:val="21"/>
                <w:highlight w:val="none"/>
              </w:rPr>
            </w:pPr>
          </w:p>
        </w:tc>
        <w:tc>
          <w:tcPr>
            <w:tcW w:w="1592" w:type="dxa"/>
            <w:noWrap w:val="0"/>
            <w:vAlign w:val="center"/>
          </w:tcPr>
          <w:p w14:paraId="31D275F3">
            <w:pPr>
              <w:shd w:val="clear" w:color="auto" w:fill="auto"/>
              <w:spacing w:line="360" w:lineRule="exact"/>
              <w:jc w:val="center"/>
              <w:rPr>
                <w:rFonts w:hint="eastAsia" w:ascii="宋体" w:hAnsi="宋体" w:eastAsia="宋体" w:cs="宋体"/>
                <w:color w:val="auto"/>
                <w:szCs w:val="21"/>
                <w:highlight w:val="none"/>
              </w:rPr>
            </w:pPr>
          </w:p>
        </w:tc>
      </w:tr>
      <w:tr w14:paraId="4EBB3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5AC24FEB">
            <w:pPr>
              <w:shd w:val="clear" w:color="auto" w:fill="auto"/>
              <w:spacing w:line="360" w:lineRule="exact"/>
              <w:jc w:val="center"/>
              <w:rPr>
                <w:rFonts w:hint="eastAsia" w:ascii="宋体" w:hAnsi="宋体" w:eastAsia="宋体" w:cs="宋体"/>
                <w:color w:val="auto"/>
                <w:szCs w:val="21"/>
                <w:highlight w:val="none"/>
              </w:rPr>
            </w:pPr>
          </w:p>
        </w:tc>
        <w:tc>
          <w:tcPr>
            <w:tcW w:w="1364" w:type="dxa"/>
            <w:noWrap w:val="0"/>
            <w:vAlign w:val="center"/>
          </w:tcPr>
          <w:p w14:paraId="51AFD3F1">
            <w:pPr>
              <w:shd w:val="clear" w:color="auto" w:fill="auto"/>
              <w:spacing w:line="360" w:lineRule="exact"/>
              <w:jc w:val="center"/>
              <w:rPr>
                <w:rFonts w:hint="eastAsia" w:ascii="宋体" w:hAnsi="宋体" w:eastAsia="宋体" w:cs="宋体"/>
                <w:color w:val="auto"/>
                <w:szCs w:val="21"/>
                <w:highlight w:val="none"/>
              </w:rPr>
            </w:pPr>
          </w:p>
        </w:tc>
        <w:tc>
          <w:tcPr>
            <w:tcW w:w="2097" w:type="dxa"/>
            <w:noWrap w:val="0"/>
            <w:vAlign w:val="center"/>
          </w:tcPr>
          <w:p w14:paraId="0B1A27BE">
            <w:pPr>
              <w:shd w:val="clear" w:color="auto" w:fill="auto"/>
              <w:spacing w:line="360" w:lineRule="exact"/>
              <w:jc w:val="center"/>
              <w:rPr>
                <w:rFonts w:hint="eastAsia" w:ascii="宋体" w:hAnsi="宋体" w:eastAsia="宋体" w:cs="宋体"/>
                <w:color w:val="auto"/>
                <w:szCs w:val="21"/>
                <w:highlight w:val="none"/>
              </w:rPr>
            </w:pPr>
          </w:p>
        </w:tc>
        <w:tc>
          <w:tcPr>
            <w:tcW w:w="1992" w:type="dxa"/>
            <w:noWrap w:val="0"/>
            <w:vAlign w:val="center"/>
          </w:tcPr>
          <w:p w14:paraId="5B8A4347">
            <w:pPr>
              <w:shd w:val="clear" w:color="auto" w:fill="auto"/>
              <w:spacing w:line="360" w:lineRule="exact"/>
              <w:jc w:val="center"/>
              <w:rPr>
                <w:rFonts w:hint="eastAsia" w:ascii="宋体" w:hAnsi="宋体" w:eastAsia="宋体" w:cs="宋体"/>
                <w:color w:val="auto"/>
                <w:szCs w:val="21"/>
                <w:highlight w:val="none"/>
              </w:rPr>
            </w:pPr>
          </w:p>
        </w:tc>
        <w:tc>
          <w:tcPr>
            <w:tcW w:w="1866" w:type="dxa"/>
            <w:noWrap w:val="0"/>
            <w:vAlign w:val="center"/>
          </w:tcPr>
          <w:p w14:paraId="52CAF2CB">
            <w:pPr>
              <w:shd w:val="clear" w:color="auto" w:fill="auto"/>
              <w:spacing w:line="360" w:lineRule="exact"/>
              <w:jc w:val="center"/>
              <w:rPr>
                <w:rFonts w:hint="eastAsia" w:ascii="宋体" w:hAnsi="宋体" w:eastAsia="宋体" w:cs="宋体"/>
                <w:color w:val="auto"/>
                <w:szCs w:val="21"/>
                <w:highlight w:val="none"/>
              </w:rPr>
            </w:pPr>
          </w:p>
        </w:tc>
        <w:tc>
          <w:tcPr>
            <w:tcW w:w="1592" w:type="dxa"/>
            <w:noWrap w:val="0"/>
            <w:vAlign w:val="center"/>
          </w:tcPr>
          <w:p w14:paraId="170B020E">
            <w:pPr>
              <w:shd w:val="clear" w:color="auto" w:fill="auto"/>
              <w:spacing w:line="360" w:lineRule="exact"/>
              <w:jc w:val="center"/>
              <w:rPr>
                <w:rFonts w:hint="eastAsia" w:ascii="宋体" w:hAnsi="宋体" w:eastAsia="宋体" w:cs="宋体"/>
                <w:color w:val="auto"/>
                <w:szCs w:val="21"/>
                <w:highlight w:val="none"/>
              </w:rPr>
            </w:pPr>
          </w:p>
        </w:tc>
      </w:tr>
      <w:tr w14:paraId="4770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943" w:type="dxa"/>
            <w:vMerge w:val="restart"/>
            <w:noWrap w:val="0"/>
            <w:vAlign w:val="center"/>
          </w:tcPr>
          <w:p w14:paraId="0ED7FC67">
            <w:pPr>
              <w:shd w:val="clear" w:color="auto" w:fill="auto"/>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w:t>
            </w:r>
          </w:p>
          <w:p w14:paraId="73A4CC97">
            <w:pPr>
              <w:shd w:val="clear" w:color="auto" w:fill="auto"/>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务</w:t>
            </w:r>
          </w:p>
          <w:p w14:paraId="252AE834">
            <w:pPr>
              <w:shd w:val="clear" w:color="auto" w:fill="auto"/>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w:t>
            </w:r>
          </w:p>
          <w:p w14:paraId="019B86B6">
            <w:pPr>
              <w:shd w:val="clear" w:color="auto" w:fill="auto"/>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款</w:t>
            </w:r>
          </w:p>
        </w:tc>
        <w:tc>
          <w:tcPr>
            <w:tcW w:w="1364" w:type="dxa"/>
            <w:noWrap w:val="0"/>
            <w:vAlign w:val="center"/>
          </w:tcPr>
          <w:p w14:paraId="595B0E56">
            <w:pPr>
              <w:shd w:val="clear" w:color="auto" w:fill="auto"/>
              <w:spacing w:line="360" w:lineRule="exact"/>
              <w:jc w:val="center"/>
              <w:rPr>
                <w:rFonts w:hint="eastAsia" w:ascii="宋体" w:hAnsi="宋体" w:eastAsia="宋体" w:cs="宋体"/>
                <w:color w:val="auto"/>
                <w:szCs w:val="21"/>
                <w:highlight w:val="none"/>
              </w:rPr>
            </w:pPr>
          </w:p>
        </w:tc>
        <w:tc>
          <w:tcPr>
            <w:tcW w:w="2097" w:type="dxa"/>
            <w:noWrap w:val="0"/>
            <w:vAlign w:val="center"/>
          </w:tcPr>
          <w:p w14:paraId="43261A8E">
            <w:pPr>
              <w:shd w:val="clear" w:color="auto" w:fill="auto"/>
              <w:spacing w:line="360" w:lineRule="exact"/>
              <w:jc w:val="center"/>
              <w:rPr>
                <w:rFonts w:hint="eastAsia" w:ascii="宋体" w:hAnsi="宋体" w:eastAsia="宋体" w:cs="宋体"/>
                <w:color w:val="auto"/>
                <w:szCs w:val="21"/>
                <w:highlight w:val="none"/>
              </w:rPr>
            </w:pPr>
          </w:p>
        </w:tc>
        <w:tc>
          <w:tcPr>
            <w:tcW w:w="1992" w:type="dxa"/>
            <w:noWrap w:val="0"/>
            <w:vAlign w:val="center"/>
          </w:tcPr>
          <w:p w14:paraId="76704F06">
            <w:pPr>
              <w:shd w:val="clear" w:color="auto" w:fill="auto"/>
              <w:spacing w:line="360" w:lineRule="exact"/>
              <w:jc w:val="center"/>
              <w:rPr>
                <w:rFonts w:hint="eastAsia" w:ascii="宋体" w:hAnsi="宋体" w:eastAsia="宋体" w:cs="宋体"/>
                <w:color w:val="auto"/>
                <w:szCs w:val="21"/>
                <w:highlight w:val="none"/>
              </w:rPr>
            </w:pPr>
          </w:p>
        </w:tc>
        <w:tc>
          <w:tcPr>
            <w:tcW w:w="1866" w:type="dxa"/>
            <w:noWrap w:val="0"/>
            <w:vAlign w:val="center"/>
          </w:tcPr>
          <w:p w14:paraId="2AEB81A6">
            <w:pPr>
              <w:shd w:val="clear" w:color="auto" w:fill="auto"/>
              <w:spacing w:line="360" w:lineRule="exact"/>
              <w:jc w:val="center"/>
              <w:rPr>
                <w:rFonts w:hint="eastAsia" w:ascii="宋体" w:hAnsi="宋体" w:eastAsia="宋体" w:cs="宋体"/>
                <w:color w:val="auto"/>
                <w:szCs w:val="21"/>
                <w:highlight w:val="none"/>
              </w:rPr>
            </w:pPr>
          </w:p>
        </w:tc>
        <w:tc>
          <w:tcPr>
            <w:tcW w:w="1592" w:type="dxa"/>
            <w:noWrap w:val="0"/>
            <w:vAlign w:val="center"/>
          </w:tcPr>
          <w:p w14:paraId="1C8D8FD0">
            <w:pPr>
              <w:shd w:val="clear" w:color="auto" w:fill="auto"/>
              <w:spacing w:line="360" w:lineRule="exact"/>
              <w:jc w:val="center"/>
              <w:rPr>
                <w:rFonts w:hint="eastAsia" w:ascii="宋体" w:hAnsi="宋体" w:eastAsia="宋体" w:cs="宋体"/>
                <w:color w:val="auto"/>
                <w:szCs w:val="21"/>
                <w:highlight w:val="none"/>
              </w:rPr>
            </w:pPr>
          </w:p>
        </w:tc>
      </w:tr>
      <w:tr w14:paraId="02DE7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06AACEC7">
            <w:pPr>
              <w:shd w:val="clear" w:color="auto" w:fill="auto"/>
              <w:spacing w:line="360" w:lineRule="exact"/>
              <w:jc w:val="center"/>
              <w:rPr>
                <w:rFonts w:hint="eastAsia" w:ascii="宋体" w:hAnsi="宋体" w:eastAsia="宋体" w:cs="宋体"/>
                <w:color w:val="auto"/>
                <w:szCs w:val="21"/>
                <w:highlight w:val="none"/>
              </w:rPr>
            </w:pPr>
          </w:p>
        </w:tc>
        <w:tc>
          <w:tcPr>
            <w:tcW w:w="1364" w:type="dxa"/>
            <w:noWrap w:val="0"/>
            <w:vAlign w:val="center"/>
          </w:tcPr>
          <w:p w14:paraId="00B23F9D">
            <w:pPr>
              <w:shd w:val="clear" w:color="auto" w:fill="auto"/>
              <w:spacing w:line="360" w:lineRule="exact"/>
              <w:jc w:val="center"/>
              <w:rPr>
                <w:rFonts w:hint="eastAsia" w:ascii="宋体" w:hAnsi="宋体" w:eastAsia="宋体" w:cs="宋体"/>
                <w:color w:val="auto"/>
                <w:szCs w:val="21"/>
                <w:highlight w:val="none"/>
              </w:rPr>
            </w:pPr>
          </w:p>
        </w:tc>
        <w:tc>
          <w:tcPr>
            <w:tcW w:w="2097" w:type="dxa"/>
            <w:noWrap w:val="0"/>
            <w:vAlign w:val="center"/>
          </w:tcPr>
          <w:p w14:paraId="4E69996C">
            <w:pPr>
              <w:shd w:val="clear" w:color="auto" w:fill="auto"/>
              <w:spacing w:line="360" w:lineRule="exact"/>
              <w:jc w:val="center"/>
              <w:rPr>
                <w:rFonts w:hint="eastAsia" w:ascii="宋体" w:hAnsi="宋体" w:eastAsia="宋体" w:cs="宋体"/>
                <w:color w:val="auto"/>
                <w:szCs w:val="21"/>
                <w:highlight w:val="none"/>
              </w:rPr>
            </w:pPr>
          </w:p>
        </w:tc>
        <w:tc>
          <w:tcPr>
            <w:tcW w:w="1992" w:type="dxa"/>
            <w:noWrap w:val="0"/>
            <w:vAlign w:val="center"/>
          </w:tcPr>
          <w:p w14:paraId="4EF4145D">
            <w:pPr>
              <w:shd w:val="clear" w:color="auto" w:fill="auto"/>
              <w:spacing w:line="360" w:lineRule="exact"/>
              <w:jc w:val="center"/>
              <w:rPr>
                <w:rFonts w:hint="eastAsia" w:ascii="宋体" w:hAnsi="宋体" w:eastAsia="宋体" w:cs="宋体"/>
                <w:color w:val="auto"/>
                <w:szCs w:val="21"/>
                <w:highlight w:val="none"/>
              </w:rPr>
            </w:pPr>
          </w:p>
        </w:tc>
        <w:tc>
          <w:tcPr>
            <w:tcW w:w="1866" w:type="dxa"/>
            <w:noWrap w:val="0"/>
            <w:vAlign w:val="center"/>
          </w:tcPr>
          <w:p w14:paraId="5A9AEC72">
            <w:pPr>
              <w:shd w:val="clear" w:color="auto" w:fill="auto"/>
              <w:spacing w:line="360" w:lineRule="exact"/>
              <w:jc w:val="center"/>
              <w:rPr>
                <w:rFonts w:hint="eastAsia" w:ascii="宋体" w:hAnsi="宋体" w:eastAsia="宋体" w:cs="宋体"/>
                <w:color w:val="auto"/>
                <w:szCs w:val="21"/>
                <w:highlight w:val="none"/>
              </w:rPr>
            </w:pPr>
          </w:p>
        </w:tc>
        <w:tc>
          <w:tcPr>
            <w:tcW w:w="1592" w:type="dxa"/>
            <w:noWrap w:val="0"/>
            <w:vAlign w:val="center"/>
          </w:tcPr>
          <w:p w14:paraId="1AB71A17">
            <w:pPr>
              <w:shd w:val="clear" w:color="auto" w:fill="auto"/>
              <w:spacing w:line="360" w:lineRule="exact"/>
              <w:jc w:val="center"/>
              <w:rPr>
                <w:rFonts w:hint="eastAsia" w:ascii="宋体" w:hAnsi="宋体" w:eastAsia="宋体" w:cs="宋体"/>
                <w:color w:val="auto"/>
                <w:szCs w:val="21"/>
                <w:highlight w:val="none"/>
              </w:rPr>
            </w:pPr>
          </w:p>
        </w:tc>
      </w:tr>
      <w:tr w14:paraId="21B85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1A4AE414">
            <w:pPr>
              <w:shd w:val="clear" w:color="auto" w:fill="auto"/>
              <w:spacing w:line="360" w:lineRule="exact"/>
              <w:jc w:val="center"/>
              <w:rPr>
                <w:rFonts w:hint="eastAsia" w:ascii="宋体" w:hAnsi="宋体" w:eastAsia="宋体" w:cs="宋体"/>
                <w:color w:val="auto"/>
                <w:szCs w:val="21"/>
                <w:highlight w:val="none"/>
              </w:rPr>
            </w:pPr>
          </w:p>
        </w:tc>
        <w:tc>
          <w:tcPr>
            <w:tcW w:w="1364" w:type="dxa"/>
            <w:noWrap w:val="0"/>
            <w:vAlign w:val="center"/>
          </w:tcPr>
          <w:p w14:paraId="48CB4B1F">
            <w:pPr>
              <w:shd w:val="clear" w:color="auto" w:fill="auto"/>
              <w:spacing w:line="360" w:lineRule="exact"/>
              <w:jc w:val="center"/>
              <w:rPr>
                <w:rFonts w:hint="eastAsia" w:ascii="宋体" w:hAnsi="宋体" w:eastAsia="宋体" w:cs="宋体"/>
                <w:color w:val="auto"/>
                <w:szCs w:val="21"/>
                <w:highlight w:val="none"/>
              </w:rPr>
            </w:pPr>
          </w:p>
        </w:tc>
        <w:tc>
          <w:tcPr>
            <w:tcW w:w="2097" w:type="dxa"/>
            <w:noWrap w:val="0"/>
            <w:vAlign w:val="center"/>
          </w:tcPr>
          <w:p w14:paraId="7BD7460D">
            <w:pPr>
              <w:shd w:val="clear" w:color="auto" w:fill="auto"/>
              <w:spacing w:line="360" w:lineRule="exact"/>
              <w:jc w:val="center"/>
              <w:rPr>
                <w:rFonts w:hint="eastAsia" w:ascii="宋体" w:hAnsi="宋体" w:eastAsia="宋体" w:cs="宋体"/>
                <w:color w:val="auto"/>
                <w:szCs w:val="21"/>
                <w:highlight w:val="none"/>
              </w:rPr>
            </w:pPr>
          </w:p>
        </w:tc>
        <w:tc>
          <w:tcPr>
            <w:tcW w:w="1992" w:type="dxa"/>
            <w:noWrap w:val="0"/>
            <w:vAlign w:val="center"/>
          </w:tcPr>
          <w:p w14:paraId="12EB887A">
            <w:pPr>
              <w:shd w:val="clear" w:color="auto" w:fill="auto"/>
              <w:spacing w:line="360" w:lineRule="exact"/>
              <w:jc w:val="center"/>
              <w:rPr>
                <w:rFonts w:hint="eastAsia" w:ascii="宋体" w:hAnsi="宋体" w:eastAsia="宋体" w:cs="宋体"/>
                <w:color w:val="auto"/>
                <w:szCs w:val="21"/>
                <w:highlight w:val="none"/>
              </w:rPr>
            </w:pPr>
          </w:p>
        </w:tc>
        <w:tc>
          <w:tcPr>
            <w:tcW w:w="1866" w:type="dxa"/>
            <w:noWrap w:val="0"/>
            <w:vAlign w:val="center"/>
          </w:tcPr>
          <w:p w14:paraId="374ECA0D">
            <w:pPr>
              <w:shd w:val="clear" w:color="auto" w:fill="auto"/>
              <w:spacing w:line="360" w:lineRule="exact"/>
              <w:jc w:val="center"/>
              <w:rPr>
                <w:rFonts w:hint="eastAsia" w:ascii="宋体" w:hAnsi="宋体" w:eastAsia="宋体" w:cs="宋体"/>
                <w:color w:val="auto"/>
                <w:szCs w:val="21"/>
                <w:highlight w:val="none"/>
              </w:rPr>
            </w:pPr>
          </w:p>
        </w:tc>
        <w:tc>
          <w:tcPr>
            <w:tcW w:w="1592" w:type="dxa"/>
            <w:noWrap w:val="0"/>
            <w:vAlign w:val="center"/>
          </w:tcPr>
          <w:p w14:paraId="562E14F1">
            <w:pPr>
              <w:shd w:val="clear" w:color="auto" w:fill="auto"/>
              <w:spacing w:line="360" w:lineRule="exact"/>
              <w:jc w:val="center"/>
              <w:rPr>
                <w:rFonts w:hint="eastAsia" w:ascii="宋体" w:hAnsi="宋体" w:eastAsia="宋体" w:cs="宋体"/>
                <w:color w:val="auto"/>
                <w:szCs w:val="21"/>
                <w:highlight w:val="none"/>
              </w:rPr>
            </w:pPr>
          </w:p>
        </w:tc>
      </w:tr>
      <w:tr w14:paraId="7C3CC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246D3019">
            <w:pPr>
              <w:shd w:val="clear" w:color="auto" w:fill="auto"/>
              <w:spacing w:line="360" w:lineRule="exact"/>
              <w:jc w:val="center"/>
              <w:rPr>
                <w:rFonts w:hint="eastAsia" w:ascii="宋体" w:hAnsi="宋体" w:eastAsia="宋体" w:cs="宋体"/>
                <w:color w:val="auto"/>
                <w:szCs w:val="21"/>
                <w:highlight w:val="none"/>
              </w:rPr>
            </w:pPr>
          </w:p>
        </w:tc>
        <w:tc>
          <w:tcPr>
            <w:tcW w:w="1364" w:type="dxa"/>
            <w:noWrap w:val="0"/>
            <w:vAlign w:val="center"/>
          </w:tcPr>
          <w:p w14:paraId="7E01DDF2">
            <w:pPr>
              <w:shd w:val="clear" w:color="auto" w:fill="auto"/>
              <w:spacing w:line="360" w:lineRule="exact"/>
              <w:jc w:val="center"/>
              <w:rPr>
                <w:rFonts w:hint="eastAsia" w:ascii="宋体" w:hAnsi="宋体" w:eastAsia="宋体" w:cs="宋体"/>
                <w:color w:val="auto"/>
                <w:szCs w:val="21"/>
                <w:highlight w:val="none"/>
              </w:rPr>
            </w:pPr>
          </w:p>
        </w:tc>
        <w:tc>
          <w:tcPr>
            <w:tcW w:w="2097" w:type="dxa"/>
            <w:noWrap w:val="0"/>
            <w:vAlign w:val="center"/>
          </w:tcPr>
          <w:p w14:paraId="258BF149">
            <w:pPr>
              <w:shd w:val="clear" w:color="auto" w:fill="auto"/>
              <w:spacing w:line="360" w:lineRule="exact"/>
              <w:jc w:val="center"/>
              <w:rPr>
                <w:rFonts w:hint="eastAsia" w:ascii="宋体" w:hAnsi="宋体" w:eastAsia="宋体" w:cs="宋体"/>
                <w:color w:val="auto"/>
                <w:szCs w:val="21"/>
                <w:highlight w:val="none"/>
              </w:rPr>
            </w:pPr>
          </w:p>
        </w:tc>
        <w:tc>
          <w:tcPr>
            <w:tcW w:w="1992" w:type="dxa"/>
            <w:noWrap w:val="0"/>
            <w:vAlign w:val="center"/>
          </w:tcPr>
          <w:p w14:paraId="37A64D1C">
            <w:pPr>
              <w:shd w:val="clear" w:color="auto" w:fill="auto"/>
              <w:spacing w:line="360" w:lineRule="exact"/>
              <w:jc w:val="center"/>
              <w:rPr>
                <w:rFonts w:hint="eastAsia" w:ascii="宋体" w:hAnsi="宋体" w:eastAsia="宋体" w:cs="宋体"/>
                <w:color w:val="auto"/>
                <w:szCs w:val="21"/>
                <w:highlight w:val="none"/>
              </w:rPr>
            </w:pPr>
          </w:p>
        </w:tc>
        <w:tc>
          <w:tcPr>
            <w:tcW w:w="1866" w:type="dxa"/>
            <w:noWrap w:val="0"/>
            <w:vAlign w:val="center"/>
          </w:tcPr>
          <w:p w14:paraId="49310780">
            <w:pPr>
              <w:shd w:val="clear" w:color="auto" w:fill="auto"/>
              <w:spacing w:line="360" w:lineRule="exact"/>
              <w:jc w:val="center"/>
              <w:rPr>
                <w:rFonts w:hint="eastAsia" w:ascii="宋体" w:hAnsi="宋体" w:eastAsia="宋体" w:cs="宋体"/>
                <w:color w:val="auto"/>
                <w:szCs w:val="21"/>
                <w:highlight w:val="none"/>
              </w:rPr>
            </w:pPr>
          </w:p>
        </w:tc>
        <w:tc>
          <w:tcPr>
            <w:tcW w:w="1592" w:type="dxa"/>
            <w:noWrap w:val="0"/>
            <w:vAlign w:val="center"/>
          </w:tcPr>
          <w:p w14:paraId="19DA0368">
            <w:pPr>
              <w:shd w:val="clear" w:color="auto" w:fill="auto"/>
              <w:spacing w:line="360" w:lineRule="exact"/>
              <w:jc w:val="center"/>
              <w:rPr>
                <w:rFonts w:hint="eastAsia" w:ascii="宋体" w:hAnsi="宋体" w:eastAsia="宋体" w:cs="宋体"/>
                <w:color w:val="auto"/>
                <w:szCs w:val="21"/>
                <w:highlight w:val="none"/>
              </w:rPr>
            </w:pPr>
          </w:p>
        </w:tc>
      </w:tr>
      <w:tr w14:paraId="19F7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04BCA4A6">
            <w:pPr>
              <w:shd w:val="clear" w:color="auto" w:fill="auto"/>
              <w:spacing w:line="360" w:lineRule="exact"/>
              <w:jc w:val="center"/>
              <w:rPr>
                <w:rFonts w:hint="eastAsia" w:ascii="宋体" w:hAnsi="宋体" w:eastAsia="宋体" w:cs="宋体"/>
                <w:color w:val="auto"/>
                <w:szCs w:val="21"/>
                <w:highlight w:val="none"/>
              </w:rPr>
            </w:pPr>
          </w:p>
        </w:tc>
        <w:tc>
          <w:tcPr>
            <w:tcW w:w="1364" w:type="dxa"/>
            <w:noWrap w:val="0"/>
            <w:vAlign w:val="center"/>
          </w:tcPr>
          <w:p w14:paraId="052E1FE0">
            <w:pPr>
              <w:shd w:val="clear" w:color="auto" w:fill="auto"/>
              <w:spacing w:line="360" w:lineRule="exact"/>
              <w:jc w:val="center"/>
              <w:rPr>
                <w:rFonts w:hint="eastAsia" w:ascii="宋体" w:hAnsi="宋体" w:eastAsia="宋体" w:cs="宋体"/>
                <w:color w:val="auto"/>
                <w:szCs w:val="21"/>
                <w:highlight w:val="none"/>
              </w:rPr>
            </w:pPr>
          </w:p>
        </w:tc>
        <w:tc>
          <w:tcPr>
            <w:tcW w:w="2097" w:type="dxa"/>
            <w:noWrap w:val="0"/>
            <w:vAlign w:val="center"/>
          </w:tcPr>
          <w:p w14:paraId="3B2A07DE">
            <w:pPr>
              <w:shd w:val="clear" w:color="auto" w:fill="auto"/>
              <w:spacing w:line="360" w:lineRule="exact"/>
              <w:jc w:val="center"/>
              <w:rPr>
                <w:rFonts w:hint="eastAsia" w:ascii="宋体" w:hAnsi="宋体" w:eastAsia="宋体" w:cs="宋体"/>
                <w:color w:val="auto"/>
                <w:szCs w:val="21"/>
                <w:highlight w:val="none"/>
              </w:rPr>
            </w:pPr>
          </w:p>
        </w:tc>
        <w:tc>
          <w:tcPr>
            <w:tcW w:w="1992" w:type="dxa"/>
            <w:noWrap w:val="0"/>
            <w:vAlign w:val="center"/>
          </w:tcPr>
          <w:p w14:paraId="6D7CE5E0">
            <w:pPr>
              <w:shd w:val="clear" w:color="auto" w:fill="auto"/>
              <w:spacing w:line="360" w:lineRule="exact"/>
              <w:jc w:val="center"/>
              <w:rPr>
                <w:rFonts w:hint="eastAsia" w:ascii="宋体" w:hAnsi="宋体" w:eastAsia="宋体" w:cs="宋体"/>
                <w:color w:val="auto"/>
                <w:szCs w:val="21"/>
                <w:highlight w:val="none"/>
              </w:rPr>
            </w:pPr>
          </w:p>
        </w:tc>
        <w:tc>
          <w:tcPr>
            <w:tcW w:w="1866" w:type="dxa"/>
            <w:noWrap w:val="0"/>
            <w:vAlign w:val="center"/>
          </w:tcPr>
          <w:p w14:paraId="79B65327">
            <w:pPr>
              <w:shd w:val="clear" w:color="auto" w:fill="auto"/>
              <w:spacing w:line="360" w:lineRule="exact"/>
              <w:jc w:val="center"/>
              <w:rPr>
                <w:rFonts w:hint="eastAsia" w:ascii="宋体" w:hAnsi="宋体" w:eastAsia="宋体" w:cs="宋体"/>
                <w:color w:val="auto"/>
                <w:szCs w:val="21"/>
                <w:highlight w:val="none"/>
              </w:rPr>
            </w:pPr>
          </w:p>
        </w:tc>
        <w:tc>
          <w:tcPr>
            <w:tcW w:w="1592" w:type="dxa"/>
            <w:noWrap w:val="0"/>
            <w:vAlign w:val="center"/>
          </w:tcPr>
          <w:p w14:paraId="510C08C9">
            <w:pPr>
              <w:shd w:val="clear" w:color="auto" w:fill="auto"/>
              <w:spacing w:line="360" w:lineRule="exact"/>
              <w:jc w:val="center"/>
              <w:rPr>
                <w:rFonts w:hint="eastAsia" w:ascii="宋体" w:hAnsi="宋体" w:eastAsia="宋体" w:cs="宋体"/>
                <w:color w:val="auto"/>
                <w:szCs w:val="21"/>
                <w:highlight w:val="none"/>
              </w:rPr>
            </w:pPr>
          </w:p>
        </w:tc>
      </w:tr>
    </w:tbl>
    <w:p w14:paraId="1298764E">
      <w:pPr>
        <w:shd w:val="clear" w:color="auto" w:fill="auto"/>
        <w:spacing w:line="360" w:lineRule="exac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注：不填写此表视为完全响应采购文件内容。</w:t>
      </w:r>
    </w:p>
    <w:p w14:paraId="06EA3C56">
      <w:pPr>
        <w:shd w:val="clear" w:color="auto" w:fill="auto"/>
        <w:spacing w:line="360" w:lineRule="exact"/>
        <w:ind w:firstLine="4417" w:firstLineChars="2000"/>
        <w:rPr>
          <w:rFonts w:hint="eastAsia" w:ascii="宋体" w:hAnsi="宋体" w:eastAsia="宋体" w:cs="宋体"/>
          <w:b/>
          <w:color w:val="auto"/>
          <w:sz w:val="22"/>
          <w:szCs w:val="22"/>
          <w:highlight w:val="none"/>
        </w:rPr>
      </w:pPr>
    </w:p>
    <w:p w14:paraId="71ABFC7F">
      <w:pPr>
        <w:shd w:val="clear" w:color="auto" w:fill="auto"/>
        <w:spacing w:line="3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投标人名称（盖章）：</w:t>
      </w:r>
    </w:p>
    <w:p w14:paraId="03E7DF06">
      <w:pPr>
        <w:shd w:val="clear" w:color="auto" w:fill="auto"/>
        <w:spacing w:line="3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14:paraId="6BF42DC2">
      <w:pPr>
        <w:shd w:val="clear" w:color="auto" w:fill="auto"/>
        <w:spacing w:line="3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  年   月   日</w:t>
      </w:r>
    </w:p>
    <w:p w14:paraId="775929CE">
      <w:pPr>
        <w:shd w:val="clear" w:color="auto" w:fill="auto"/>
        <w:spacing w:line="360" w:lineRule="exact"/>
        <w:jc w:val="left"/>
        <w:rPr>
          <w:rFonts w:hint="eastAsia" w:ascii="宋体" w:hAnsi="宋体" w:eastAsia="宋体" w:cs="宋体"/>
          <w:b/>
          <w:color w:val="auto"/>
          <w:sz w:val="22"/>
          <w:szCs w:val="22"/>
          <w:highlight w:val="none"/>
        </w:rPr>
      </w:pPr>
    </w:p>
    <w:p w14:paraId="5F61C086">
      <w:pPr>
        <w:jc w:val="center"/>
        <w:rPr>
          <w:rFonts w:hint="eastAsia" w:ascii="宋体" w:hAnsi="宋体" w:eastAsia="宋体" w:cs="宋体"/>
          <w:color w:val="auto"/>
          <w:sz w:val="36"/>
          <w:szCs w:val="36"/>
          <w:highlight w:val="none"/>
        </w:rPr>
      </w:pPr>
      <w:bookmarkStart w:id="156" w:name="_Toc246261271"/>
      <w:bookmarkStart w:id="157" w:name="_Toc221356957"/>
      <w:bookmarkStart w:id="158" w:name="_Toc222114885"/>
      <w:bookmarkStart w:id="159" w:name="_Toc221356894"/>
      <w:bookmarkStart w:id="160" w:name="_Toc245722287"/>
      <w:bookmarkStart w:id="161" w:name="_Toc223716004"/>
      <w:bookmarkStart w:id="162" w:name="_Toc239145360"/>
      <w:bookmarkStart w:id="163" w:name="_Toc241404208"/>
      <w:bookmarkStart w:id="164" w:name="_Toc221374632"/>
      <w:bookmarkStart w:id="165" w:name="_Toc221423625"/>
      <w:bookmarkStart w:id="166" w:name="_Toc245191320"/>
      <w:bookmarkStart w:id="167" w:name="_Hlk85884979"/>
      <w:r>
        <w:rPr>
          <w:rFonts w:hint="eastAsia" w:ascii="宋体" w:hAnsi="宋体" w:eastAsia="宋体" w:cs="宋体"/>
          <w:color w:val="auto"/>
          <w:sz w:val="22"/>
          <w:highlight w:val="none"/>
        </w:rPr>
        <w:br w:type="page"/>
      </w:r>
      <w:bookmarkStart w:id="168" w:name="_Toc262105510"/>
      <w:bookmarkStart w:id="169" w:name="_Toc32270"/>
      <w:bookmarkStart w:id="170" w:name="_Toc249758721"/>
      <w:bookmarkStart w:id="171" w:name="_Toc249758871"/>
      <w:bookmarkStart w:id="172" w:name="_Toc262049425"/>
      <w:r>
        <w:rPr>
          <w:rFonts w:hint="eastAsia" w:ascii="宋体" w:hAnsi="宋体" w:eastAsia="宋体" w:cs="宋体"/>
          <w:color w:val="auto"/>
          <w:sz w:val="36"/>
          <w:szCs w:val="36"/>
          <w:highlight w:val="none"/>
        </w:rPr>
        <w:t>第四部分   采购内容及要求</w:t>
      </w:r>
      <w:bookmarkEnd w:id="156"/>
      <w:bookmarkEnd w:id="157"/>
      <w:bookmarkEnd w:id="158"/>
      <w:bookmarkEnd w:id="159"/>
      <w:bookmarkEnd w:id="160"/>
      <w:bookmarkEnd w:id="161"/>
      <w:bookmarkEnd w:id="162"/>
      <w:bookmarkEnd w:id="163"/>
      <w:bookmarkEnd w:id="164"/>
      <w:bookmarkEnd w:id="165"/>
      <w:bookmarkEnd w:id="166"/>
      <w:bookmarkEnd w:id="168"/>
      <w:bookmarkEnd w:id="169"/>
      <w:bookmarkEnd w:id="170"/>
      <w:bookmarkEnd w:id="171"/>
      <w:bookmarkEnd w:id="172"/>
    </w:p>
    <w:p w14:paraId="4474768D">
      <w:pPr>
        <w:shd w:val="clear" w:color="auto" w:fill="auto"/>
        <w:rPr>
          <w:rFonts w:hint="eastAsia" w:ascii="宋体" w:hAnsi="宋体" w:eastAsia="宋体" w:cs="宋体"/>
          <w:color w:val="auto"/>
          <w:highlight w:val="none"/>
        </w:rPr>
      </w:pPr>
    </w:p>
    <w:p w14:paraId="0F7217BA">
      <w:pPr>
        <w:widowControl/>
        <w:autoSpaceDE w:val="0"/>
        <w:autoSpaceDN w:val="0"/>
        <w:adjustRightInd w:val="0"/>
        <w:spacing w:line="380" w:lineRule="atLeast"/>
        <w:textAlignment w:val="bottom"/>
        <w:rPr>
          <w:rFonts w:ascii="宋体" w:eastAsia="宋体"/>
          <w:bCs/>
          <w:color w:val="auto"/>
          <w:sz w:val="22"/>
          <w:szCs w:val="22"/>
          <w:highlight w:val="none"/>
        </w:rPr>
      </w:pPr>
      <w:bookmarkStart w:id="173" w:name="_Toc499214028"/>
      <w:bookmarkStart w:id="174" w:name="_Toc467066325"/>
      <w:bookmarkStart w:id="175" w:name="_Toc157410883"/>
      <w:bookmarkStart w:id="176" w:name="_Toc221423626"/>
      <w:bookmarkStart w:id="177" w:name="_Toc249758722"/>
      <w:bookmarkStart w:id="178" w:name="_Toc221374633"/>
      <w:bookmarkStart w:id="179" w:name="_Toc245191321"/>
      <w:bookmarkStart w:id="180" w:name="_Toc249758872"/>
      <w:bookmarkStart w:id="181" w:name="_Toc239145361"/>
      <w:bookmarkStart w:id="182" w:name="_Toc262049426"/>
      <w:bookmarkStart w:id="183" w:name="_Toc262105511"/>
      <w:bookmarkStart w:id="184" w:name="_Toc222114886"/>
      <w:bookmarkStart w:id="185" w:name="_Toc245722288"/>
      <w:bookmarkStart w:id="186" w:name="_Toc223716005"/>
      <w:bookmarkStart w:id="187" w:name="_Toc221356960"/>
      <w:bookmarkStart w:id="188" w:name="_Toc246261272"/>
      <w:bookmarkStart w:id="189" w:name="_Toc221356897"/>
      <w:bookmarkStart w:id="190" w:name="_Toc241404209"/>
      <w:r>
        <w:rPr>
          <w:rFonts w:hint="eastAsia" w:ascii="宋体" w:eastAsia="宋体"/>
          <w:bCs/>
          <w:color w:val="auto"/>
          <w:sz w:val="22"/>
          <w:szCs w:val="22"/>
          <w:highlight w:val="none"/>
        </w:rPr>
        <w:t>一、采购总说明</w:t>
      </w:r>
      <w:bookmarkEnd w:id="173"/>
      <w:bookmarkEnd w:id="174"/>
    </w:p>
    <w:bookmarkEnd w:id="175"/>
    <w:p w14:paraId="3BD3F01D">
      <w:pPr>
        <w:pStyle w:val="17"/>
        <w:adjustRightInd w:val="0"/>
        <w:snapToGrid w:val="0"/>
        <w:spacing w:line="420" w:lineRule="atLeast"/>
        <w:ind w:firstLine="482"/>
        <w:rPr>
          <w:rFonts w:hAnsi="宋体" w:eastAsia="宋体"/>
          <w:b w:val="0"/>
          <w:color w:val="auto"/>
          <w:sz w:val="22"/>
          <w:highlight w:val="none"/>
        </w:rPr>
      </w:pPr>
      <w:r>
        <w:rPr>
          <w:rFonts w:hint="eastAsia" w:hAnsi="宋体" w:eastAsia="宋体"/>
          <w:b w:val="0"/>
          <w:color w:val="auto"/>
          <w:sz w:val="22"/>
          <w:highlight w:val="none"/>
        </w:rPr>
        <w:t>1、本技术规范要求提出的是最低限度的基本技术要求，并未对所有技术细节作出规定，供应商应提供符合本技术要求和国家标准、行业标准的优质产品。</w:t>
      </w:r>
    </w:p>
    <w:p w14:paraId="33EAB792">
      <w:pPr>
        <w:pStyle w:val="17"/>
        <w:adjustRightInd w:val="0"/>
        <w:snapToGrid w:val="0"/>
        <w:spacing w:line="420" w:lineRule="atLeast"/>
        <w:ind w:firstLine="482"/>
        <w:rPr>
          <w:rFonts w:hAnsi="宋体" w:eastAsia="宋体"/>
          <w:b w:val="0"/>
          <w:color w:val="auto"/>
          <w:sz w:val="22"/>
          <w:highlight w:val="none"/>
        </w:rPr>
      </w:pPr>
      <w:r>
        <w:rPr>
          <w:rFonts w:hint="eastAsia" w:hAnsi="宋体" w:eastAsia="宋体"/>
          <w:b w:val="0"/>
          <w:color w:val="auto"/>
          <w:sz w:val="22"/>
          <w:highlight w:val="none"/>
        </w:rPr>
        <w:t>2、供应商产品与本技术要求不一致时，供应商应在投标文件中予以说明，并由评标委员会鉴定供应商产品能否达到要求。如供应商没有在投标文件中提出异议，则视为供应商提供的产品完全按照本招标文件要求。</w:t>
      </w:r>
    </w:p>
    <w:p w14:paraId="2A785A58">
      <w:pPr>
        <w:pStyle w:val="17"/>
        <w:adjustRightInd w:val="0"/>
        <w:snapToGrid w:val="0"/>
        <w:spacing w:line="420" w:lineRule="atLeast"/>
        <w:ind w:firstLine="482"/>
        <w:rPr>
          <w:rFonts w:hAnsi="宋体" w:eastAsia="宋体"/>
          <w:b w:val="0"/>
          <w:color w:val="auto"/>
          <w:sz w:val="22"/>
          <w:highlight w:val="none"/>
        </w:rPr>
      </w:pPr>
      <w:r>
        <w:rPr>
          <w:rFonts w:hint="eastAsia" w:hAnsi="宋体" w:eastAsia="宋体"/>
          <w:b w:val="0"/>
          <w:color w:val="auto"/>
          <w:sz w:val="22"/>
          <w:highlight w:val="none"/>
        </w:rPr>
        <w:t>3、技术要求及标准的执行</w:t>
      </w:r>
    </w:p>
    <w:p w14:paraId="34A4696D">
      <w:pPr>
        <w:pStyle w:val="17"/>
        <w:adjustRightInd w:val="0"/>
        <w:snapToGrid w:val="0"/>
        <w:spacing w:line="420" w:lineRule="atLeast"/>
        <w:ind w:firstLine="482"/>
        <w:rPr>
          <w:rFonts w:hAnsi="宋体" w:eastAsia="宋体"/>
          <w:b w:val="0"/>
          <w:color w:val="auto"/>
          <w:sz w:val="22"/>
          <w:highlight w:val="none"/>
        </w:rPr>
      </w:pPr>
      <w:r>
        <w:rPr>
          <w:rFonts w:hint="eastAsia" w:hAnsi="宋体" w:eastAsia="宋体"/>
          <w:b w:val="0"/>
          <w:color w:val="auto"/>
          <w:sz w:val="22"/>
          <w:highlight w:val="none"/>
        </w:rPr>
        <w:t>供应商提供的产品应标明所执行的质量标准，若同一标准已颁发新标准，则按最新标准执行。若同一产品同时有几个标准（国际标准、国家标准、行业标准、企业标准等），则按最高层次的标准执行。</w:t>
      </w:r>
    </w:p>
    <w:p w14:paraId="6E125E3E">
      <w:pPr>
        <w:pStyle w:val="17"/>
        <w:adjustRightInd w:val="0"/>
        <w:snapToGrid w:val="0"/>
        <w:spacing w:line="420" w:lineRule="atLeast"/>
        <w:ind w:firstLine="482"/>
        <w:rPr>
          <w:rFonts w:hAnsi="宋体" w:eastAsia="宋体"/>
          <w:b w:val="0"/>
          <w:color w:val="auto"/>
          <w:sz w:val="22"/>
          <w:highlight w:val="none"/>
        </w:rPr>
      </w:pPr>
      <w:r>
        <w:rPr>
          <w:rFonts w:hint="eastAsia" w:hAnsi="宋体" w:eastAsia="宋体"/>
          <w:b w:val="0"/>
          <w:color w:val="auto"/>
          <w:sz w:val="22"/>
          <w:highlight w:val="none"/>
        </w:rPr>
        <w:t>4、供应商须按国家有关规定及标准完成本次采购产品的供货、运输、装卸、就位、安装、调试、技术培训、检验、通过有关部门验收、维保期服务、产品终身维修等各项工作，并保证投标产品使用的安全性能与检测结果的可靠性。如中标，中标供应商及制造商对中标产品使用的安全性能与可靠性负全部责任。</w:t>
      </w:r>
    </w:p>
    <w:p w14:paraId="617EE5DA">
      <w:pPr>
        <w:widowControl/>
        <w:autoSpaceDE w:val="0"/>
        <w:autoSpaceDN w:val="0"/>
        <w:adjustRightInd w:val="0"/>
        <w:spacing w:line="380" w:lineRule="atLeast"/>
        <w:textAlignment w:val="bottom"/>
        <w:rPr>
          <w:rFonts w:hint="eastAsia" w:ascii="宋体" w:eastAsia="宋体"/>
          <w:bCs/>
          <w:color w:val="auto"/>
          <w:sz w:val="22"/>
          <w:szCs w:val="22"/>
          <w:highlight w:val="none"/>
        </w:rPr>
      </w:pPr>
      <w:bookmarkStart w:id="191" w:name="_Toc499214029"/>
    </w:p>
    <w:p w14:paraId="12F7DBBB">
      <w:pPr>
        <w:widowControl/>
        <w:autoSpaceDE w:val="0"/>
        <w:autoSpaceDN w:val="0"/>
        <w:adjustRightInd w:val="0"/>
        <w:spacing w:line="380" w:lineRule="atLeast"/>
        <w:textAlignment w:val="bottom"/>
        <w:rPr>
          <w:rFonts w:hint="eastAsia" w:ascii="宋体" w:eastAsia="宋体"/>
          <w:bCs/>
          <w:color w:val="auto"/>
          <w:sz w:val="22"/>
          <w:szCs w:val="22"/>
          <w:highlight w:val="none"/>
        </w:rPr>
      </w:pPr>
      <w:r>
        <w:rPr>
          <w:rFonts w:hint="eastAsia" w:ascii="宋体" w:eastAsia="宋体"/>
          <w:bCs/>
          <w:color w:val="auto"/>
          <w:sz w:val="22"/>
          <w:szCs w:val="22"/>
          <w:highlight w:val="none"/>
        </w:rPr>
        <w:t>二、技术要求</w:t>
      </w:r>
      <w:bookmarkEnd w:id="191"/>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39"/>
        <w:gridCol w:w="1646"/>
        <w:gridCol w:w="1835"/>
        <w:gridCol w:w="4854"/>
      </w:tblGrid>
      <w:tr w14:paraId="3C029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79" w:type="pct"/>
            <w:tcMar>
              <w:top w:w="60" w:type="dxa"/>
              <w:left w:w="120" w:type="dxa"/>
              <w:bottom w:w="30" w:type="dxa"/>
              <w:right w:w="120" w:type="dxa"/>
            </w:tcMar>
            <w:vAlign w:val="center"/>
          </w:tcPr>
          <w:p w14:paraId="3227E21E">
            <w:pPr>
              <w:pStyle w:val="25"/>
              <w:bidi w:val="0"/>
              <w:jc w:val="center"/>
              <w:rPr>
                <w:color w:val="auto"/>
                <w:highlight w:val="none"/>
              </w:rPr>
            </w:pPr>
            <w:r>
              <w:rPr>
                <w:color w:val="auto"/>
                <w:highlight w:val="none"/>
              </w:rPr>
              <w:t>菜单
</w:t>
            </w:r>
          </w:p>
        </w:tc>
        <w:tc>
          <w:tcPr>
            <w:tcW w:w="833" w:type="pct"/>
            <w:tcMar>
              <w:top w:w="60" w:type="dxa"/>
              <w:left w:w="120" w:type="dxa"/>
              <w:bottom w:w="30" w:type="dxa"/>
              <w:right w:w="120" w:type="dxa"/>
            </w:tcMar>
            <w:vAlign w:val="center"/>
          </w:tcPr>
          <w:p w14:paraId="220E1E07">
            <w:pPr>
              <w:pStyle w:val="25"/>
              <w:bidi w:val="0"/>
              <w:jc w:val="center"/>
              <w:rPr>
                <w:color w:val="auto"/>
                <w:highlight w:val="none"/>
              </w:rPr>
            </w:pPr>
            <w:r>
              <w:rPr>
                <w:color w:val="auto"/>
                <w:highlight w:val="none"/>
              </w:rPr>
              <w:t>功能模块
</w:t>
            </w:r>
          </w:p>
        </w:tc>
        <w:tc>
          <w:tcPr>
            <w:tcW w:w="929" w:type="pct"/>
            <w:tcMar>
              <w:top w:w="60" w:type="dxa"/>
              <w:left w:w="120" w:type="dxa"/>
              <w:bottom w:w="30" w:type="dxa"/>
              <w:right w:w="120" w:type="dxa"/>
            </w:tcMar>
            <w:vAlign w:val="center"/>
          </w:tcPr>
          <w:p w14:paraId="24754350">
            <w:pPr>
              <w:pStyle w:val="25"/>
              <w:bidi w:val="0"/>
              <w:jc w:val="center"/>
              <w:rPr>
                <w:color w:val="auto"/>
                <w:highlight w:val="none"/>
              </w:rPr>
            </w:pPr>
            <w:r>
              <w:rPr>
                <w:rFonts w:hint="eastAsia"/>
                <w:color w:val="auto"/>
                <w:highlight w:val="none"/>
                <w:lang w:val="en-US" w:eastAsia="zh-CN"/>
              </w:rPr>
              <w:t>子</w:t>
            </w:r>
            <w:r>
              <w:rPr>
                <w:color w:val="auto"/>
                <w:highlight w:val="none"/>
              </w:rPr>
              <w:t>功能模块
</w:t>
            </w:r>
          </w:p>
        </w:tc>
        <w:tc>
          <w:tcPr>
            <w:tcW w:w="2457" w:type="pct"/>
            <w:tcMar>
              <w:top w:w="60" w:type="dxa"/>
              <w:left w:w="120" w:type="dxa"/>
              <w:bottom w:w="30" w:type="dxa"/>
              <w:right w:w="120" w:type="dxa"/>
            </w:tcMar>
            <w:vAlign w:val="center"/>
          </w:tcPr>
          <w:p w14:paraId="798E14C0">
            <w:pPr>
              <w:pStyle w:val="25"/>
              <w:bidi w:val="0"/>
              <w:jc w:val="center"/>
              <w:rPr>
                <w:color w:val="auto"/>
                <w:highlight w:val="none"/>
              </w:rPr>
            </w:pPr>
            <w:r>
              <w:rPr>
                <w:color w:val="auto"/>
                <w:highlight w:val="none"/>
              </w:rPr>
              <w:t>功能描述说明
</w:t>
            </w:r>
          </w:p>
        </w:tc>
      </w:tr>
      <w:tr w14:paraId="6739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79" w:type="pct"/>
            <w:vMerge w:val="restart"/>
            <w:tcMar>
              <w:top w:w="60" w:type="dxa"/>
              <w:left w:w="120" w:type="dxa"/>
              <w:bottom w:w="30" w:type="dxa"/>
              <w:right w:w="120" w:type="dxa"/>
            </w:tcMar>
            <w:vAlign w:val="center"/>
          </w:tcPr>
          <w:p w14:paraId="42FF1B8F">
            <w:pPr>
              <w:pStyle w:val="25"/>
              <w:bidi w:val="0"/>
              <w:jc w:val="center"/>
              <w:rPr>
                <w:color w:val="auto"/>
                <w:highlight w:val="none"/>
              </w:rPr>
            </w:pPr>
            <w:r>
              <w:rPr>
                <w:rFonts w:hint="eastAsia"/>
                <w:color w:val="auto"/>
                <w:highlight w:val="none"/>
                <w:lang w:val="en-US" w:eastAsia="zh-CN"/>
              </w:rPr>
              <w:t>交通风险</w:t>
            </w:r>
            <w:r>
              <w:rPr>
                <w:color w:val="auto"/>
                <w:highlight w:val="none"/>
              </w:rPr>
              <w:t>
</w:t>
            </w:r>
          </w:p>
        </w:tc>
        <w:tc>
          <w:tcPr>
            <w:tcW w:w="833" w:type="pct"/>
            <w:vMerge w:val="restart"/>
            <w:tcMar>
              <w:top w:w="60" w:type="dxa"/>
              <w:left w:w="120" w:type="dxa"/>
              <w:bottom w:w="30" w:type="dxa"/>
              <w:right w:w="120" w:type="dxa"/>
            </w:tcMar>
            <w:vAlign w:val="center"/>
          </w:tcPr>
          <w:p w14:paraId="3CD00C57">
            <w:pPr>
              <w:pStyle w:val="25"/>
              <w:bidi w:val="0"/>
              <w:jc w:val="center"/>
              <w:rPr>
                <w:color w:val="auto"/>
                <w:highlight w:val="none"/>
              </w:rPr>
            </w:pPr>
            <w:r>
              <w:rPr>
                <w:color w:val="auto"/>
                <w:highlight w:val="none"/>
              </w:rPr>
              <w:t>气象数据子模块
</w:t>
            </w:r>
          </w:p>
        </w:tc>
        <w:tc>
          <w:tcPr>
            <w:tcW w:w="929" w:type="pct"/>
            <w:tcMar>
              <w:top w:w="60" w:type="dxa"/>
              <w:left w:w="120" w:type="dxa"/>
              <w:bottom w:w="30" w:type="dxa"/>
              <w:right w:w="120" w:type="dxa"/>
            </w:tcMar>
            <w:vAlign w:val="center"/>
          </w:tcPr>
          <w:p w14:paraId="130DF424">
            <w:pPr>
              <w:pStyle w:val="25"/>
              <w:bidi w:val="0"/>
              <w:jc w:val="center"/>
              <w:rPr>
                <w:rFonts w:hint="default" w:eastAsia="宋体"/>
                <w:color w:val="auto"/>
                <w:highlight w:val="none"/>
                <w:lang w:val="en-US" w:eastAsia="zh-CN"/>
              </w:rPr>
            </w:pPr>
            <w:r>
              <w:rPr>
                <w:rFonts w:hint="eastAsia"/>
                <w:color w:val="auto"/>
                <w:highlight w:val="none"/>
                <w:lang w:val="en-US" w:eastAsia="zh-CN"/>
              </w:rPr>
              <w:t>实况子模块</w:t>
            </w:r>
          </w:p>
        </w:tc>
        <w:tc>
          <w:tcPr>
            <w:tcW w:w="2457" w:type="pct"/>
            <w:tcMar>
              <w:top w:w="60" w:type="dxa"/>
              <w:left w:w="120" w:type="dxa"/>
              <w:bottom w:w="30" w:type="dxa"/>
              <w:right w:w="120" w:type="dxa"/>
            </w:tcMar>
            <w:vAlign w:val="center"/>
          </w:tcPr>
          <w:p w14:paraId="7990D131">
            <w:pPr>
              <w:pStyle w:val="25"/>
              <w:bidi w:val="0"/>
              <w:jc w:val="left"/>
              <w:rPr>
                <w:rFonts w:hint="eastAsia" w:eastAsia="宋体"/>
                <w:color w:val="auto"/>
                <w:highlight w:val="none"/>
                <w:lang w:eastAsia="zh-CN"/>
              </w:rPr>
            </w:pPr>
            <w:r>
              <w:rPr>
                <w:rFonts w:hint="eastAsia"/>
                <w:color w:val="auto"/>
                <w:highlight w:val="none"/>
                <w:lang w:val="en-US" w:eastAsia="zh-CN"/>
              </w:rPr>
              <w:t>通过GIS展示</w:t>
            </w:r>
            <w:r>
              <w:rPr>
                <w:color w:val="auto"/>
                <w:highlight w:val="none"/>
              </w:rPr>
              <w:t>降水情况</w:t>
            </w:r>
            <w:r>
              <w:rPr>
                <w:rFonts w:hint="eastAsia"/>
                <w:color w:val="auto"/>
                <w:highlight w:val="none"/>
                <w:lang w:eastAsia="zh-CN"/>
              </w:rPr>
              <w:t>、</w:t>
            </w:r>
            <w:r>
              <w:rPr>
                <w:color w:val="auto"/>
                <w:highlight w:val="none"/>
              </w:rPr>
              <w:t>最低温度数据</w:t>
            </w:r>
            <w:r>
              <w:rPr>
                <w:rFonts w:hint="eastAsia"/>
                <w:color w:val="auto"/>
                <w:highlight w:val="none"/>
                <w:lang w:eastAsia="zh-CN"/>
              </w:rPr>
              <w:t>、</w:t>
            </w:r>
            <w:r>
              <w:rPr>
                <w:color w:val="auto"/>
                <w:highlight w:val="none"/>
              </w:rPr>
              <w:t>能见度信息</w:t>
            </w:r>
            <w:r>
              <w:rPr>
                <w:rFonts w:hint="eastAsia"/>
                <w:color w:val="auto"/>
                <w:highlight w:val="none"/>
                <w:lang w:val="en-US" w:eastAsia="zh-CN"/>
              </w:rPr>
              <w:t>站点和填色数据，</w:t>
            </w:r>
            <w:r>
              <w:rPr>
                <w:color w:val="auto"/>
                <w:highlight w:val="none"/>
              </w:rPr>
              <w:t>支持查看精细化雷达组网数据</w:t>
            </w:r>
            <w:r>
              <w:rPr>
                <w:rFonts w:hint="eastAsia"/>
                <w:color w:val="auto"/>
                <w:highlight w:val="none"/>
                <w:lang w:eastAsia="zh-CN"/>
              </w:rPr>
              <w:t>、</w:t>
            </w:r>
            <w:r>
              <w:rPr>
                <w:color w:val="auto"/>
                <w:highlight w:val="none"/>
              </w:rPr>
              <w:t>可浏览卫星云图</w:t>
            </w:r>
          </w:p>
        </w:tc>
      </w:tr>
      <w:tr w14:paraId="77B5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79" w:type="pct"/>
            <w:vMerge w:val="continue"/>
            <w:tcMar>
              <w:top w:w="60" w:type="dxa"/>
              <w:left w:w="120" w:type="dxa"/>
              <w:bottom w:w="30" w:type="dxa"/>
              <w:right w:w="120" w:type="dxa"/>
            </w:tcMar>
            <w:vAlign w:val="center"/>
          </w:tcPr>
          <w:p w14:paraId="2B8C0672">
            <w:pPr>
              <w:pStyle w:val="25"/>
              <w:bidi w:val="0"/>
              <w:jc w:val="center"/>
              <w:rPr>
                <w:color w:val="auto"/>
                <w:highlight w:val="none"/>
              </w:rPr>
            </w:pPr>
          </w:p>
        </w:tc>
        <w:tc>
          <w:tcPr>
            <w:tcW w:w="833" w:type="pct"/>
            <w:vMerge w:val="continue"/>
            <w:tcMar>
              <w:top w:w="60" w:type="dxa"/>
              <w:left w:w="120" w:type="dxa"/>
              <w:bottom w:w="30" w:type="dxa"/>
              <w:right w:w="120" w:type="dxa"/>
            </w:tcMar>
            <w:vAlign w:val="center"/>
          </w:tcPr>
          <w:p w14:paraId="1D6E2F36">
            <w:pPr>
              <w:pStyle w:val="25"/>
              <w:bidi w:val="0"/>
              <w:jc w:val="center"/>
              <w:rPr>
                <w:color w:val="auto"/>
                <w:highlight w:val="none"/>
              </w:rPr>
            </w:pPr>
          </w:p>
        </w:tc>
        <w:tc>
          <w:tcPr>
            <w:tcW w:w="929" w:type="pct"/>
            <w:tcMar>
              <w:top w:w="60" w:type="dxa"/>
              <w:left w:w="120" w:type="dxa"/>
              <w:bottom w:w="30" w:type="dxa"/>
              <w:right w:w="120" w:type="dxa"/>
            </w:tcMar>
            <w:vAlign w:val="center"/>
          </w:tcPr>
          <w:p w14:paraId="239B294D">
            <w:pPr>
              <w:pStyle w:val="25"/>
              <w:bidi w:val="0"/>
              <w:jc w:val="center"/>
              <w:rPr>
                <w:rFonts w:hint="default" w:eastAsia="宋体"/>
                <w:color w:val="auto"/>
                <w:highlight w:val="none"/>
                <w:lang w:val="en-US" w:eastAsia="zh-CN"/>
              </w:rPr>
            </w:pPr>
            <w:r>
              <w:rPr>
                <w:rFonts w:hint="eastAsia"/>
                <w:color w:val="auto"/>
                <w:highlight w:val="none"/>
                <w:lang w:val="en-US" w:eastAsia="zh-CN"/>
              </w:rPr>
              <w:t>预报子模块</w:t>
            </w:r>
          </w:p>
        </w:tc>
        <w:tc>
          <w:tcPr>
            <w:tcW w:w="2457" w:type="pct"/>
            <w:tcMar>
              <w:top w:w="60" w:type="dxa"/>
              <w:left w:w="120" w:type="dxa"/>
              <w:bottom w:w="30" w:type="dxa"/>
              <w:right w:w="120" w:type="dxa"/>
            </w:tcMar>
            <w:vAlign w:val="center"/>
          </w:tcPr>
          <w:p w14:paraId="5E60848E">
            <w:pPr>
              <w:pStyle w:val="25"/>
              <w:bidi w:val="0"/>
              <w:jc w:val="left"/>
              <w:rPr>
                <w:rFonts w:hint="default" w:eastAsia="宋体"/>
                <w:color w:val="auto"/>
                <w:highlight w:val="none"/>
                <w:lang w:val="en-US" w:eastAsia="zh-CN"/>
              </w:rPr>
            </w:pPr>
            <w:r>
              <w:rPr>
                <w:rFonts w:hint="eastAsia"/>
                <w:color w:val="auto"/>
                <w:highlight w:val="none"/>
                <w:lang w:val="en-US" w:eastAsia="zh-CN"/>
              </w:rPr>
              <w:t>通过GIS展示</w:t>
            </w:r>
            <w:r>
              <w:rPr>
                <w:color w:val="auto"/>
                <w:highlight w:val="none"/>
              </w:rPr>
              <w:t>降水预报</w:t>
            </w:r>
            <w:r>
              <w:rPr>
                <w:rFonts w:hint="eastAsia"/>
                <w:color w:val="auto"/>
                <w:highlight w:val="none"/>
                <w:lang w:eastAsia="zh-CN"/>
              </w:rPr>
              <w:t>、</w:t>
            </w:r>
            <w:r>
              <w:rPr>
                <w:color w:val="auto"/>
                <w:highlight w:val="none"/>
              </w:rPr>
              <w:t>温度预报</w:t>
            </w:r>
            <w:r>
              <w:rPr>
                <w:rFonts w:hint="eastAsia"/>
                <w:color w:val="auto"/>
                <w:highlight w:val="none"/>
                <w:lang w:val="en-US" w:eastAsia="zh-CN"/>
              </w:rPr>
              <w:t>能见度</w:t>
            </w:r>
            <w:r>
              <w:rPr>
                <w:color w:val="auto"/>
                <w:highlight w:val="none"/>
              </w:rPr>
              <w:t>预报</w:t>
            </w:r>
            <w:r>
              <w:rPr>
                <w:rFonts w:hint="eastAsia"/>
                <w:color w:val="auto"/>
                <w:highlight w:val="none"/>
                <w:lang w:val="en-US" w:eastAsia="zh-CN"/>
              </w:rPr>
              <w:t>网格数据</w:t>
            </w:r>
          </w:p>
        </w:tc>
      </w:tr>
      <w:tr w14:paraId="7B4C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79" w:type="pct"/>
            <w:vMerge w:val="continue"/>
            <w:tcMar>
              <w:top w:w="60" w:type="dxa"/>
              <w:left w:w="120" w:type="dxa"/>
              <w:bottom w:w="30" w:type="dxa"/>
              <w:right w:w="120" w:type="dxa"/>
            </w:tcMar>
            <w:vAlign w:val="center"/>
          </w:tcPr>
          <w:p w14:paraId="3A259B11">
            <w:pPr>
              <w:pStyle w:val="25"/>
              <w:bidi w:val="0"/>
              <w:jc w:val="center"/>
              <w:rPr>
                <w:color w:val="auto"/>
                <w:highlight w:val="none"/>
              </w:rPr>
            </w:pPr>
          </w:p>
        </w:tc>
        <w:tc>
          <w:tcPr>
            <w:tcW w:w="833" w:type="pct"/>
            <w:vMerge w:val="restart"/>
            <w:tcMar>
              <w:top w:w="60" w:type="dxa"/>
              <w:left w:w="120" w:type="dxa"/>
              <w:bottom w:w="30" w:type="dxa"/>
              <w:right w:w="120" w:type="dxa"/>
            </w:tcMar>
            <w:vAlign w:val="center"/>
          </w:tcPr>
          <w:p w14:paraId="4044F356">
            <w:pPr>
              <w:pStyle w:val="25"/>
              <w:bidi w:val="0"/>
              <w:jc w:val="center"/>
              <w:rPr>
                <w:color w:val="auto"/>
                <w:highlight w:val="none"/>
              </w:rPr>
            </w:pPr>
            <w:r>
              <w:rPr>
                <w:color w:val="auto"/>
                <w:highlight w:val="none"/>
              </w:rPr>
              <w:t>区域风险子模块</w:t>
            </w:r>
          </w:p>
        </w:tc>
        <w:tc>
          <w:tcPr>
            <w:tcW w:w="929" w:type="pct"/>
            <w:tcMar>
              <w:top w:w="60" w:type="dxa"/>
              <w:left w:w="120" w:type="dxa"/>
              <w:bottom w:w="30" w:type="dxa"/>
              <w:right w:w="120" w:type="dxa"/>
            </w:tcMar>
            <w:vAlign w:val="center"/>
          </w:tcPr>
          <w:p w14:paraId="51C82F0A">
            <w:pPr>
              <w:pStyle w:val="25"/>
              <w:bidi w:val="0"/>
              <w:jc w:val="center"/>
              <w:rPr>
                <w:rFonts w:hint="default" w:eastAsia="宋体"/>
                <w:color w:val="auto"/>
                <w:highlight w:val="none"/>
                <w:lang w:val="en-US" w:eastAsia="zh-CN"/>
              </w:rPr>
            </w:pPr>
            <w:r>
              <w:rPr>
                <w:rFonts w:hint="eastAsia"/>
                <w:color w:val="auto"/>
                <w:highlight w:val="none"/>
                <w:lang w:val="en-US" w:eastAsia="zh-CN"/>
              </w:rPr>
              <w:t>综合风险预报</w:t>
            </w:r>
          </w:p>
        </w:tc>
        <w:tc>
          <w:tcPr>
            <w:tcW w:w="2457" w:type="pct"/>
            <w:tcMar>
              <w:top w:w="60" w:type="dxa"/>
              <w:left w:w="120" w:type="dxa"/>
              <w:bottom w:w="30" w:type="dxa"/>
              <w:right w:w="120" w:type="dxa"/>
            </w:tcMar>
            <w:vAlign w:val="center"/>
          </w:tcPr>
          <w:p w14:paraId="239EC7EE">
            <w:pPr>
              <w:pStyle w:val="25"/>
              <w:bidi w:val="0"/>
              <w:jc w:val="left"/>
              <w:rPr>
                <w:rFonts w:hint="eastAsia" w:eastAsia="宋体"/>
                <w:color w:val="auto"/>
                <w:highlight w:val="none"/>
                <w:lang w:eastAsia="zh-CN"/>
              </w:rPr>
            </w:pPr>
            <w:r>
              <w:rPr>
                <w:color w:val="auto"/>
                <w:highlight w:val="none"/>
              </w:rPr>
              <w:t>展示区域</w:t>
            </w:r>
            <w:r>
              <w:rPr>
                <w:rFonts w:hint="eastAsia"/>
                <w:color w:val="auto"/>
                <w:highlight w:val="none"/>
                <w:lang w:val="en-US" w:eastAsia="zh-CN"/>
              </w:rPr>
              <w:t>内乡镇未来24小时风险概览和未来24小时逐时</w:t>
            </w:r>
            <w:r>
              <w:rPr>
                <w:color w:val="auto"/>
                <w:highlight w:val="none"/>
              </w:rPr>
              <w:t>综合</w:t>
            </w:r>
            <w:r>
              <w:rPr>
                <w:rFonts w:hint="eastAsia"/>
                <w:color w:val="auto"/>
                <w:highlight w:val="none"/>
                <w:lang w:val="en-US" w:eastAsia="zh-CN"/>
              </w:rPr>
              <w:t>风险预报图</w:t>
            </w:r>
            <w:r>
              <w:rPr>
                <w:rFonts w:hint="eastAsia"/>
                <w:color w:val="auto"/>
                <w:highlight w:val="none"/>
                <w:lang w:eastAsia="zh-CN"/>
              </w:rPr>
              <w:t>，</w:t>
            </w:r>
            <w:r>
              <w:rPr>
                <w:rFonts w:hint="eastAsia"/>
                <w:color w:val="auto"/>
                <w:highlight w:val="none"/>
                <w:lang w:val="en-US" w:eastAsia="zh-CN"/>
              </w:rPr>
              <w:t>可查看风险时序</w:t>
            </w:r>
            <w:r>
              <w:rPr>
                <w:color w:val="auto"/>
                <w:highlight w:val="none"/>
              </w:rPr>
              <w:t>
</w:t>
            </w:r>
          </w:p>
        </w:tc>
      </w:tr>
      <w:tr w14:paraId="7051A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79" w:type="pct"/>
            <w:vMerge w:val="continue"/>
            <w:tcMar>
              <w:top w:w="60" w:type="dxa"/>
              <w:left w:w="120" w:type="dxa"/>
              <w:bottom w:w="30" w:type="dxa"/>
              <w:right w:w="120" w:type="dxa"/>
            </w:tcMar>
            <w:vAlign w:val="center"/>
          </w:tcPr>
          <w:p w14:paraId="5926C660">
            <w:pPr>
              <w:pStyle w:val="25"/>
              <w:bidi w:val="0"/>
              <w:jc w:val="center"/>
              <w:rPr>
                <w:color w:val="auto"/>
                <w:highlight w:val="none"/>
              </w:rPr>
            </w:pPr>
          </w:p>
        </w:tc>
        <w:tc>
          <w:tcPr>
            <w:tcW w:w="833" w:type="pct"/>
            <w:vMerge w:val="continue"/>
            <w:tcMar>
              <w:top w:w="60" w:type="dxa"/>
              <w:left w:w="120" w:type="dxa"/>
              <w:bottom w:w="30" w:type="dxa"/>
              <w:right w:w="120" w:type="dxa"/>
            </w:tcMar>
            <w:vAlign w:val="center"/>
          </w:tcPr>
          <w:p w14:paraId="7540DDC7">
            <w:pPr>
              <w:pStyle w:val="25"/>
              <w:bidi w:val="0"/>
              <w:jc w:val="center"/>
              <w:rPr>
                <w:color w:val="auto"/>
                <w:highlight w:val="none"/>
              </w:rPr>
            </w:pPr>
          </w:p>
        </w:tc>
        <w:tc>
          <w:tcPr>
            <w:tcW w:w="929" w:type="pct"/>
            <w:tcMar>
              <w:top w:w="60" w:type="dxa"/>
              <w:left w:w="120" w:type="dxa"/>
              <w:bottom w:w="30" w:type="dxa"/>
              <w:right w:w="120" w:type="dxa"/>
            </w:tcMar>
            <w:vAlign w:val="center"/>
          </w:tcPr>
          <w:p w14:paraId="0F00A8F2">
            <w:pPr>
              <w:pStyle w:val="25"/>
              <w:bidi w:val="0"/>
              <w:jc w:val="center"/>
              <w:rPr>
                <w:color w:val="auto"/>
                <w:highlight w:val="none"/>
              </w:rPr>
            </w:pPr>
            <w:r>
              <w:rPr>
                <w:color w:val="auto"/>
                <w:highlight w:val="none"/>
              </w:rPr>
              <w:t>道路结冰风险预报</w:t>
            </w:r>
          </w:p>
        </w:tc>
        <w:tc>
          <w:tcPr>
            <w:tcW w:w="2457" w:type="pct"/>
            <w:tcMar>
              <w:top w:w="60" w:type="dxa"/>
              <w:left w:w="120" w:type="dxa"/>
              <w:bottom w:w="30" w:type="dxa"/>
              <w:right w:w="120" w:type="dxa"/>
            </w:tcMar>
            <w:vAlign w:val="center"/>
          </w:tcPr>
          <w:p w14:paraId="3C631995">
            <w:pPr>
              <w:pStyle w:val="25"/>
              <w:bidi w:val="0"/>
              <w:jc w:val="left"/>
              <w:rPr>
                <w:color w:val="auto"/>
                <w:highlight w:val="none"/>
              </w:rPr>
            </w:pPr>
            <w:r>
              <w:rPr>
                <w:color w:val="auto"/>
                <w:highlight w:val="none"/>
              </w:rPr>
              <w:t>展示区域</w:t>
            </w:r>
            <w:r>
              <w:rPr>
                <w:rFonts w:hint="eastAsia"/>
                <w:color w:val="auto"/>
                <w:highlight w:val="none"/>
                <w:lang w:val="en-US" w:eastAsia="zh-CN"/>
              </w:rPr>
              <w:t>内乡镇未来24小时风险概览和未来24小时逐时道路结冰风险预报图</w:t>
            </w:r>
            <w:r>
              <w:rPr>
                <w:rFonts w:hint="eastAsia"/>
                <w:color w:val="auto"/>
                <w:highlight w:val="none"/>
                <w:lang w:eastAsia="zh-CN"/>
              </w:rPr>
              <w:t>，</w:t>
            </w:r>
            <w:r>
              <w:rPr>
                <w:rFonts w:hint="eastAsia"/>
                <w:color w:val="auto"/>
                <w:highlight w:val="none"/>
                <w:lang w:val="en-US" w:eastAsia="zh-CN"/>
              </w:rPr>
              <w:t>可查看风险时序</w:t>
            </w:r>
          </w:p>
        </w:tc>
      </w:tr>
      <w:tr w14:paraId="37247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79" w:type="pct"/>
            <w:vMerge w:val="continue"/>
            <w:tcMar>
              <w:top w:w="60" w:type="dxa"/>
              <w:left w:w="120" w:type="dxa"/>
              <w:bottom w:w="30" w:type="dxa"/>
              <w:right w:w="120" w:type="dxa"/>
            </w:tcMar>
            <w:vAlign w:val="center"/>
          </w:tcPr>
          <w:p w14:paraId="09AB05DE">
            <w:pPr>
              <w:pStyle w:val="25"/>
              <w:bidi w:val="0"/>
              <w:jc w:val="center"/>
              <w:rPr>
                <w:color w:val="auto"/>
                <w:highlight w:val="none"/>
              </w:rPr>
            </w:pPr>
          </w:p>
        </w:tc>
        <w:tc>
          <w:tcPr>
            <w:tcW w:w="833" w:type="pct"/>
            <w:vMerge w:val="continue"/>
            <w:tcMar>
              <w:top w:w="60" w:type="dxa"/>
              <w:left w:w="120" w:type="dxa"/>
              <w:bottom w:w="30" w:type="dxa"/>
              <w:right w:w="120" w:type="dxa"/>
            </w:tcMar>
            <w:vAlign w:val="center"/>
          </w:tcPr>
          <w:p w14:paraId="1146BAF3">
            <w:pPr>
              <w:pStyle w:val="25"/>
              <w:bidi w:val="0"/>
              <w:jc w:val="center"/>
              <w:rPr>
                <w:color w:val="auto"/>
                <w:highlight w:val="none"/>
              </w:rPr>
            </w:pPr>
          </w:p>
        </w:tc>
        <w:tc>
          <w:tcPr>
            <w:tcW w:w="929" w:type="pct"/>
            <w:tcMar>
              <w:top w:w="60" w:type="dxa"/>
              <w:left w:w="120" w:type="dxa"/>
              <w:bottom w:w="30" w:type="dxa"/>
              <w:right w:w="120" w:type="dxa"/>
            </w:tcMar>
            <w:vAlign w:val="center"/>
          </w:tcPr>
          <w:p w14:paraId="7C00F371">
            <w:pPr>
              <w:pStyle w:val="25"/>
              <w:bidi w:val="0"/>
              <w:jc w:val="center"/>
              <w:rPr>
                <w:color w:val="auto"/>
                <w:highlight w:val="none"/>
              </w:rPr>
            </w:pPr>
            <w:r>
              <w:rPr>
                <w:rFonts w:hint="eastAsia"/>
                <w:color w:val="auto"/>
                <w:highlight w:val="none"/>
                <w:lang w:val="en-US" w:eastAsia="zh-CN"/>
              </w:rPr>
              <w:t>能见度</w:t>
            </w:r>
            <w:r>
              <w:rPr>
                <w:color w:val="auto"/>
                <w:highlight w:val="none"/>
              </w:rPr>
              <w:t>风险预报</w:t>
            </w:r>
          </w:p>
        </w:tc>
        <w:tc>
          <w:tcPr>
            <w:tcW w:w="2457" w:type="pct"/>
            <w:tcMar>
              <w:top w:w="60" w:type="dxa"/>
              <w:left w:w="120" w:type="dxa"/>
              <w:bottom w:w="30" w:type="dxa"/>
              <w:right w:w="120" w:type="dxa"/>
            </w:tcMar>
            <w:vAlign w:val="center"/>
          </w:tcPr>
          <w:p w14:paraId="1CFD4CF0">
            <w:pPr>
              <w:pStyle w:val="25"/>
              <w:bidi w:val="0"/>
              <w:jc w:val="left"/>
              <w:rPr>
                <w:color w:val="auto"/>
                <w:highlight w:val="none"/>
              </w:rPr>
            </w:pPr>
            <w:r>
              <w:rPr>
                <w:color w:val="auto"/>
                <w:highlight w:val="none"/>
              </w:rPr>
              <w:t>展示区域</w:t>
            </w:r>
            <w:r>
              <w:rPr>
                <w:rFonts w:hint="eastAsia"/>
                <w:color w:val="auto"/>
                <w:highlight w:val="none"/>
                <w:lang w:val="en-US" w:eastAsia="zh-CN"/>
              </w:rPr>
              <w:t>内乡镇未来24小时风险概览和未来24小时逐时能见度风险预报图</w:t>
            </w:r>
            <w:r>
              <w:rPr>
                <w:rFonts w:hint="eastAsia"/>
                <w:color w:val="auto"/>
                <w:highlight w:val="none"/>
                <w:lang w:eastAsia="zh-CN"/>
              </w:rPr>
              <w:t>，</w:t>
            </w:r>
            <w:r>
              <w:rPr>
                <w:rFonts w:hint="eastAsia"/>
                <w:color w:val="auto"/>
                <w:highlight w:val="none"/>
                <w:lang w:val="en-US" w:eastAsia="zh-CN"/>
              </w:rPr>
              <w:t>可查看风险时序</w:t>
            </w:r>
          </w:p>
        </w:tc>
      </w:tr>
      <w:tr w14:paraId="465E9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79" w:type="pct"/>
            <w:vMerge w:val="continue"/>
            <w:tcMar>
              <w:top w:w="60" w:type="dxa"/>
              <w:left w:w="120" w:type="dxa"/>
              <w:bottom w:w="30" w:type="dxa"/>
              <w:right w:w="120" w:type="dxa"/>
            </w:tcMar>
            <w:vAlign w:val="center"/>
          </w:tcPr>
          <w:p w14:paraId="6CDE0999">
            <w:pPr>
              <w:pStyle w:val="25"/>
              <w:bidi w:val="0"/>
              <w:jc w:val="center"/>
              <w:rPr>
                <w:color w:val="auto"/>
                <w:highlight w:val="none"/>
              </w:rPr>
            </w:pPr>
          </w:p>
        </w:tc>
        <w:tc>
          <w:tcPr>
            <w:tcW w:w="833" w:type="pct"/>
            <w:vMerge w:val="continue"/>
            <w:tcMar>
              <w:top w:w="60" w:type="dxa"/>
              <w:left w:w="120" w:type="dxa"/>
              <w:bottom w:w="30" w:type="dxa"/>
              <w:right w:w="120" w:type="dxa"/>
            </w:tcMar>
            <w:vAlign w:val="center"/>
          </w:tcPr>
          <w:p w14:paraId="5EB841D0">
            <w:pPr>
              <w:pStyle w:val="25"/>
              <w:bidi w:val="0"/>
              <w:jc w:val="center"/>
              <w:rPr>
                <w:color w:val="auto"/>
                <w:highlight w:val="none"/>
              </w:rPr>
            </w:pPr>
          </w:p>
        </w:tc>
        <w:tc>
          <w:tcPr>
            <w:tcW w:w="929" w:type="pct"/>
            <w:tcMar>
              <w:top w:w="60" w:type="dxa"/>
              <w:left w:w="120" w:type="dxa"/>
              <w:bottom w:w="30" w:type="dxa"/>
              <w:right w:w="120" w:type="dxa"/>
            </w:tcMar>
            <w:vAlign w:val="center"/>
          </w:tcPr>
          <w:p w14:paraId="4488861C">
            <w:pPr>
              <w:pStyle w:val="25"/>
              <w:bidi w:val="0"/>
              <w:jc w:val="center"/>
              <w:rPr>
                <w:rFonts w:hint="default" w:eastAsia="宋体"/>
                <w:color w:val="auto"/>
                <w:highlight w:val="none"/>
                <w:lang w:val="en-US" w:eastAsia="zh-CN"/>
              </w:rPr>
            </w:pPr>
            <w:r>
              <w:rPr>
                <w:rFonts w:hint="eastAsia"/>
                <w:color w:val="auto"/>
                <w:highlight w:val="none"/>
                <w:lang w:val="en-US" w:eastAsia="zh-CN"/>
              </w:rPr>
              <w:t>暴雨风险预报</w:t>
            </w:r>
          </w:p>
        </w:tc>
        <w:tc>
          <w:tcPr>
            <w:tcW w:w="2457" w:type="pct"/>
            <w:tcMar>
              <w:top w:w="60" w:type="dxa"/>
              <w:left w:w="120" w:type="dxa"/>
              <w:bottom w:w="30" w:type="dxa"/>
              <w:right w:w="120" w:type="dxa"/>
            </w:tcMar>
            <w:vAlign w:val="center"/>
          </w:tcPr>
          <w:p w14:paraId="1868D556">
            <w:pPr>
              <w:pStyle w:val="25"/>
              <w:bidi w:val="0"/>
              <w:jc w:val="left"/>
              <w:rPr>
                <w:color w:val="auto"/>
                <w:highlight w:val="none"/>
              </w:rPr>
            </w:pPr>
            <w:r>
              <w:rPr>
                <w:color w:val="auto"/>
                <w:highlight w:val="none"/>
              </w:rPr>
              <w:t>展示区域</w:t>
            </w:r>
            <w:r>
              <w:rPr>
                <w:rFonts w:hint="eastAsia"/>
                <w:color w:val="auto"/>
                <w:highlight w:val="none"/>
                <w:lang w:val="en-US" w:eastAsia="zh-CN"/>
              </w:rPr>
              <w:t>内乡镇未来24小时风险概览和未来24小时逐时暴雨风险预报图</w:t>
            </w:r>
            <w:r>
              <w:rPr>
                <w:rFonts w:hint="eastAsia"/>
                <w:color w:val="auto"/>
                <w:highlight w:val="none"/>
                <w:lang w:eastAsia="zh-CN"/>
              </w:rPr>
              <w:t>，</w:t>
            </w:r>
            <w:r>
              <w:rPr>
                <w:rFonts w:hint="eastAsia"/>
                <w:color w:val="auto"/>
                <w:highlight w:val="none"/>
                <w:lang w:val="en-US" w:eastAsia="zh-CN"/>
              </w:rPr>
              <w:t>可查看风险时序</w:t>
            </w:r>
          </w:p>
        </w:tc>
      </w:tr>
      <w:tr w14:paraId="3A93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79" w:type="pct"/>
            <w:vMerge w:val="continue"/>
            <w:tcMar>
              <w:top w:w="60" w:type="dxa"/>
              <w:left w:w="120" w:type="dxa"/>
              <w:bottom w:w="30" w:type="dxa"/>
              <w:right w:w="120" w:type="dxa"/>
            </w:tcMar>
            <w:vAlign w:val="center"/>
          </w:tcPr>
          <w:p w14:paraId="5DABE901">
            <w:pPr>
              <w:pStyle w:val="25"/>
              <w:bidi w:val="0"/>
              <w:jc w:val="center"/>
              <w:rPr>
                <w:color w:val="auto"/>
                <w:highlight w:val="none"/>
              </w:rPr>
            </w:pPr>
          </w:p>
        </w:tc>
        <w:tc>
          <w:tcPr>
            <w:tcW w:w="833" w:type="pct"/>
            <w:vMerge w:val="restart"/>
            <w:tcMar>
              <w:top w:w="60" w:type="dxa"/>
              <w:left w:w="120" w:type="dxa"/>
              <w:bottom w:w="30" w:type="dxa"/>
              <w:right w:w="120" w:type="dxa"/>
            </w:tcMar>
            <w:vAlign w:val="center"/>
          </w:tcPr>
          <w:p w14:paraId="248E66BC">
            <w:pPr>
              <w:pStyle w:val="25"/>
              <w:bidi w:val="0"/>
              <w:jc w:val="center"/>
              <w:rPr>
                <w:color w:val="auto"/>
                <w:highlight w:val="none"/>
              </w:rPr>
            </w:pPr>
            <w:r>
              <w:rPr>
                <w:color w:val="auto"/>
                <w:highlight w:val="none"/>
              </w:rPr>
              <w:t>线路风险子模块</w:t>
            </w:r>
          </w:p>
        </w:tc>
        <w:tc>
          <w:tcPr>
            <w:tcW w:w="929" w:type="pct"/>
            <w:tcMar>
              <w:top w:w="60" w:type="dxa"/>
              <w:left w:w="120" w:type="dxa"/>
              <w:bottom w:w="30" w:type="dxa"/>
              <w:right w:w="120" w:type="dxa"/>
            </w:tcMar>
            <w:vAlign w:val="center"/>
          </w:tcPr>
          <w:p w14:paraId="3B235B92">
            <w:pPr>
              <w:pStyle w:val="25"/>
              <w:bidi w:val="0"/>
              <w:jc w:val="center"/>
              <w:rPr>
                <w:rFonts w:hint="eastAsia"/>
                <w:color w:val="auto"/>
                <w:highlight w:val="none"/>
                <w:lang w:val="en-US" w:eastAsia="zh-CN"/>
              </w:rPr>
            </w:pPr>
            <w:r>
              <w:rPr>
                <w:rFonts w:hint="eastAsia"/>
                <w:color w:val="auto"/>
                <w:highlight w:val="none"/>
                <w:lang w:val="en-US" w:eastAsia="zh-CN"/>
              </w:rPr>
              <w:t>综合风险预报</w:t>
            </w:r>
          </w:p>
        </w:tc>
        <w:tc>
          <w:tcPr>
            <w:tcW w:w="2457" w:type="pct"/>
            <w:tcMar>
              <w:top w:w="60" w:type="dxa"/>
              <w:left w:w="120" w:type="dxa"/>
              <w:bottom w:w="30" w:type="dxa"/>
              <w:right w:w="120" w:type="dxa"/>
            </w:tcMar>
            <w:vAlign w:val="center"/>
          </w:tcPr>
          <w:p w14:paraId="48B5BA1A">
            <w:pPr>
              <w:pStyle w:val="25"/>
              <w:bidi w:val="0"/>
              <w:jc w:val="left"/>
              <w:rPr>
                <w:color w:val="auto"/>
                <w:highlight w:val="none"/>
              </w:rPr>
            </w:pPr>
            <w:r>
              <w:rPr>
                <w:color w:val="auto"/>
                <w:highlight w:val="none"/>
              </w:rPr>
              <w:t>展示区域</w:t>
            </w:r>
            <w:r>
              <w:rPr>
                <w:rFonts w:hint="eastAsia"/>
                <w:color w:val="auto"/>
                <w:highlight w:val="none"/>
                <w:lang w:val="en-US" w:eastAsia="zh-CN"/>
              </w:rPr>
              <w:t>内公交线路过去实况风险，未来24小时风险和未来72小时</w:t>
            </w:r>
            <w:r>
              <w:rPr>
                <w:color w:val="auto"/>
                <w:highlight w:val="none"/>
              </w:rPr>
              <w:t>综合</w:t>
            </w:r>
            <w:r>
              <w:rPr>
                <w:rFonts w:hint="eastAsia"/>
                <w:color w:val="auto"/>
                <w:highlight w:val="none"/>
                <w:lang w:val="en-US" w:eastAsia="zh-CN"/>
              </w:rPr>
              <w:t>风险预报图</w:t>
            </w:r>
            <w:r>
              <w:rPr>
                <w:rFonts w:hint="eastAsia"/>
                <w:color w:val="auto"/>
                <w:highlight w:val="none"/>
                <w:lang w:eastAsia="zh-CN"/>
              </w:rPr>
              <w:t>，</w:t>
            </w:r>
            <w:r>
              <w:rPr>
                <w:rFonts w:hint="eastAsia"/>
                <w:color w:val="auto"/>
                <w:highlight w:val="none"/>
                <w:lang w:val="en-US" w:eastAsia="zh-CN"/>
              </w:rPr>
              <w:t>可查看风险时序</w:t>
            </w:r>
            <w:r>
              <w:rPr>
                <w:color w:val="auto"/>
                <w:highlight w:val="none"/>
              </w:rPr>
              <w:t>
</w:t>
            </w:r>
          </w:p>
        </w:tc>
      </w:tr>
      <w:tr w14:paraId="08174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79" w:type="pct"/>
            <w:vMerge w:val="continue"/>
            <w:tcMar>
              <w:top w:w="60" w:type="dxa"/>
              <w:left w:w="120" w:type="dxa"/>
              <w:bottom w:w="30" w:type="dxa"/>
              <w:right w:w="120" w:type="dxa"/>
            </w:tcMar>
            <w:vAlign w:val="center"/>
          </w:tcPr>
          <w:p w14:paraId="2AC6C6C3">
            <w:pPr>
              <w:pStyle w:val="25"/>
              <w:bidi w:val="0"/>
              <w:jc w:val="center"/>
              <w:rPr>
                <w:color w:val="auto"/>
                <w:highlight w:val="none"/>
              </w:rPr>
            </w:pPr>
          </w:p>
        </w:tc>
        <w:tc>
          <w:tcPr>
            <w:tcW w:w="833" w:type="pct"/>
            <w:vMerge w:val="continue"/>
            <w:tcMar>
              <w:top w:w="60" w:type="dxa"/>
              <w:left w:w="120" w:type="dxa"/>
              <w:bottom w:w="30" w:type="dxa"/>
              <w:right w:w="120" w:type="dxa"/>
            </w:tcMar>
            <w:vAlign w:val="center"/>
          </w:tcPr>
          <w:p w14:paraId="3C93F44A">
            <w:pPr>
              <w:pStyle w:val="25"/>
              <w:bidi w:val="0"/>
              <w:jc w:val="center"/>
              <w:rPr>
                <w:color w:val="auto"/>
                <w:highlight w:val="none"/>
              </w:rPr>
            </w:pPr>
          </w:p>
        </w:tc>
        <w:tc>
          <w:tcPr>
            <w:tcW w:w="929" w:type="pct"/>
            <w:tcMar>
              <w:top w:w="60" w:type="dxa"/>
              <w:left w:w="120" w:type="dxa"/>
              <w:bottom w:w="30" w:type="dxa"/>
              <w:right w:w="120" w:type="dxa"/>
            </w:tcMar>
            <w:vAlign w:val="center"/>
          </w:tcPr>
          <w:p w14:paraId="5749A91F">
            <w:pPr>
              <w:pStyle w:val="25"/>
              <w:bidi w:val="0"/>
              <w:jc w:val="center"/>
              <w:rPr>
                <w:rFonts w:hint="eastAsia"/>
                <w:color w:val="auto"/>
                <w:highlight w:val="none"/>
                <w:lang w:val="en-US" w:eastAsia="zh-CN"/>
              </w:rPr>
            </w:pPr>
            <w:r>
              <w:rPr>
                <w:color w:val="auto"/>
                <w:highlight w:val="none"/>
              </w:rPr>
              <w:t>道路结冰风险预报</w:t>
            </w:r>
          </w:p>
        </w:tc>
        <w:tc>
          <w:tcPr>
            <w:tcW w:w="2457" w:type="pct"/>
            <w:tcMar>
              <w:top w:w="60" w:type="dxa"/>
              <w:left w:w="120" w:type="dxa"/>
              <w:bottom w:w="30" w:type="dxa"/>
              <w:right w:w="120" w:type="dxa"/>
            </w:tcMar>
            <w:vAlign w:val="center"/>
          </w:tcPr>
          <w:p w14:paraId="741DDF01">
            <w:pPr>
              <w:pStyle w:val="25"/>
              <w:bidi w:val="0"/>
              <w:jc w:val="left"/>
              <w:rPr>
                <w:color w:val="auto"/>
                <w:highlight w:val="none"/>
              </w:rPr>
            </w:pPr>
            <w:r>
              <w:rPr>
                <w:color w:val="auto"/>
                <w:highlight w:val="none"/>
              </w:rPr>
              <w:t>展示区域</w:t>
            </w:r>
            <w:r>
              <w:rPr>
                <w:rFonts w:hint="eastAsia"/>
                <w:color w:val="auto"/>
                <w:highlight w:val="none"/>
                <w:lang w:val="en-US" w:eastAsia="zh-CN"/>
              </w:rPr>
              <w:t>内公交线路过去实况风险，未来24小时风险和未来72小时道路结冰风险预报图</w:t>
            </w:r>
            <w:r>
              <w:rPr>
                <w:rFonts w:hint="eastAsia"/>
                <w:color w:val="auto"/>
                <w:highlight w:val="none"/>
                <w:lang w:eastAsia="zh-CN"/>
              </w:rPr>
              <w:t>，</w:t>
            </w:r>
            <w:r>
              <w:rPr>
                <w:rFonts w:hint="eastAsia"/>
                <w:color w:val="auto"/>
                <w:highlight w:val="none"/>
                <w:lang w:val="en-US" w:eastAsia="zh-CN"/>
              </w:rPr>
              <w:t>可查看风险时序</w:t>
            </w:r>
            <w:r>
              <w:rPr>
                <w:color w:val="auto"/>
                <w:highlight w:val="none"/>
              </w:rPr>
              <w:t>
</w:t>
            </w:r>
          </w:p>
        </w:tc>
      </w:tr>
      <w:tr w14:paraId="1ECC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79" w:type="pct"/>
            <w:vMerge w:val="continue"/>
            <w:tcMar>
              <w:top w:w="60" w:type="dxa"/>
              <w:left w:w="120" w:type="dxa"/>
              <w:bottom w:w="30" w:type="dxa"/>
              <w:right w:w="120" w:type="dxa"/>
            </w:tcMar>
            <w:vAlign w:val="center"/>
          </w:tcPr>
          <w:p w14:paraId="6810CFB2">
            <w:pPr>
              <w:pStyle w:val="25"/>
              <w:bidi w:val="0"/>
              <w:jc w:val="center"/>
              <w:rPr>
                <w:color w:val="auto"/>
                <w:highlight w:val="none"/>
              </w:rPr>
            </w:pPr>
          </w:p>
        </w:tc>
        <w:tc>
          <w:tcPr>
            <w:tcW w:w="833" w:type="pct"/>
            <w:vMerge w:val="continue"/>
            <w:tcMar>
              <w:top w:w="60" w:type="dxa"/>
              <w:left w:w="120" w:type="dxa"/>
              <w:bottom w:w="30" w:type="dxa"/>
              <w:right w:w="120" w:type="dxa"/>
            </w:tcMar>
            <w:vAlign w:val="center"/>
          </w:tcPr>
          <w:p w14:paraId="4B1360E7">
            <w:pPr>
              <w:pStyle w:val="25"/>
              <w:bidi w:val="0"/>
              <w:jc w:val="center"/>
              <w:rPr>
                <w:color w:val="auto"/>
                <w:highlight w:val="none"/>
              </w:rPr>
            </w:pPr>
          </w:p>
        </w:tc>
        <w:tc>
          <w:tcPr>
            <w:tcW w:w="929" w:type="pct"/>
            <w:tcMar>
              <w:top w:w="60" w:type="dxa"/>
              <w:left w:w="120" w:type="dxa"/>
              <w:bottom w:w="30" w:type="dxa"/>
              <w:right w:w="120" w:type="dxa"/>
            </w:tcMar>
            <w:vAlign w:val="center"/>
          </w:tcPr>
          <w:p w14:paraId="2D82D119">
            <w:pPr>
              <w:pStyle w:val="25"/>
              <w:bidi w:val="0"/>
              <w:jc w:val="center"/>
              <w:rPr>
                <w:rFonts w:hint="eastAsia"/>
                <w:color w:val="auto"/>
                <w:highlight w:val="none"/>
                <w:lang w:val="en-US" w:eastAsia="zh-CN"/>
              </w:rPr>
            </w:pPr>
            <w:r>
              <w:rPr>
                <w:rFonts w:hint="eastAsia"/>
                <w:color w:val="auto"/>
                <w:highlight w:val="none"/>
                <w:lang w:val="en-US" w:eastAsia="zh-CN"/>
              </w:rPr>
              <w:t>能见度</w:t>
            </w:r>
            <w:r>
              <w:rPr>
                <w:color w:val="auto"/>
                <w:highlight w:val="none"/>
              </w:rPr>
              <w:t>风险预报</w:t>
            </w:r>
          </w:p>
        </w:tc>
        <w:tc>
          <w:tcPr>
            <w:tcW w:w="2457" w:type="pct"/>
            <w:tcMar>
              <w:top w:w="60" w:type="dxa"/>
              <w:left w:w="120" w:type="dxa"/>
              <w:bottom w:w="30" w:type="dxa"/>
              <w:right w:w="120" w:type="dxa"/>
            </w:tcMar>
            <w:vAlign w:val="center"/>
          </w:tcPr>
          <w:p w14:paraId="503650C9">
            <w:pPr>
              <w:pStyle w:val="25"/>
              <w:bidi w:val="0"/>
              <w:jc w:val="left"/>
              <w:rPr>
                <w:color w:val="auto"/>
                <w:highlight w:val="none"/>
              </w:rPr>
            </w:pPr>
            <w:r>
              <w:rPr>
                <w:color w:val="auto"/>
                <w:highlight w:val="none"/>
              </w:rPr>
              <w:t>展示区域</w:t>
            </w:r>
            <w:r>
              <w:rPr>
                <w:rFonts w:hint="eastAsia"/>
                <w:color w:val="auto"/>
                <w:highlight w:val="none"/>
                <w:lang w:val="en-US" w:eastAsia="zh-CN"/>
              </w:rPr>
              <w:t>内公交线路过去实况风险，未来24小时风险和未来72小时能见度风险预报图</w:t>
            </w:r>
            <w:r>
              <w:rPr>
                <w:rFonts w:hint="eastAsia"/>
                <w:color w:val="auto"/>
                <w:highlight w:val="none"/>
                <w:lang w:eastAsia="zh-CN"/>
              </w:rPr>
              <w:t>，</w:t>
            </w:r>
            <w:r>
              <w:rPr>
                <w:rFonts w:hint="eastAsia"/>
                <w:color w:val="auto"/>
                <w:highlight w:val="none"/>
                <w:lang w:val="en-US" w:eastAsia="zh-CN"/>
              </w:rPr>
              <w:t>可查看风险时序</w:t>
            </w:r>
            <w:r>
              <w:rPr>
                <w:color w:val="auto"/>
                <w:highlight w:val="none"/>
              </w:rPr>
              <w:t>
</w:t>
            </w:r>
          </w:p>
        </w:tc>
      </w:tr>
      <w:tr w14:paraId="4F18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79" w:type="pct"/>
            <w:vMerge w:val="continue"/>
            <w:tcMar>
              <w:top w:w="60" w:type="dxa"/>
              <w:left w:w="120" w:type="dxa"/>
              <w:bottom w:w="30" w:type="dxa"/>
              <w:right w:w="120" w:type="dxa"/>
            </w:tcMar>
            <w:vAlign w:val="center"/>
          </w:tcPr>
          <w:p w14:paraId="158C2BC5">
            <w:pPr>
              <w:pStyle w:val="25"/>
              <w:bidi w:val="0"/>
              <w:jc w:val="center"/>
              <w:rPr>
                <w:color w:val="auto"/>
                <w:highlight w:val="none"/>
              </w:rPr>
            </w:pPr>
          </w:p>
        </w:tc>
        <w:tc>
          <w:tcPr>
            <w:tcW w:w="833" w:type="pct"/>
            <w:vMerge w:val="continue"/>
            <w:tcMar>
              <w:top w:w="60" w:type="dxa"/>
              <w:left w:w="120" w:type="dxa"/>
              <w:bottom w:w="30" w:type="dxa"/>
              <w:right w:w="120" w:type="dxa"/>
            </w:tcMar>
            <w:vAlign w:val="center"/>
          </w:tcPr>
          <w:p w14:paraId="5C31328D">
            <w:pPr>
              <w:pStyle w:val="25"/>
              <w:bidi w:val="0"/>
              <w:jc w:val="center"/>
              <w:rPr>
                <w:color w:val="auto"/>
                <w:highlight w:val="none"/>
              </w:rPr>
            </w:pPr>
          </w:p>
        </w:tc>
        <w:tc>
          <w:tcPr>
            <w:tcW w:w="929" w:type="pct"/>
            <w:tcMar>
              <w:top w:w="60" w:type="dxa"/>
              <w:left w:w="120" w:type="dxa"/>
              <w:bottom w:w="30" w:type="dxa"/>
              <w:right w:w="120" w:type="dxa"/>
            </w:tcMar>
            <w:vAlign w:val="center"/>
          </w:tcPr>
          <w:p w14:paraId="48000D85">
            <w:pPr>
              <w:pStyle w:val="25"/>
              <w:bidi w:val="0"/>
              <w:jc w:val="center"/>
              <w:rPr>
                <w:rFonts w:hint="eastAsia"/>
                <w:color w:val="auto"/>
                <w:highlight w:val="none"/>
                <w:lang w:val="en-US" w:eastAsia="zh-CN"/>
              </w:rPr>
            </w:pPr>
            <w:r>
              <w:rPr>
                <w:rFonts w:hint="eastAsia"/>
                <w:color w:val="auto"/>
                <w:highlight w:val="none"/>
                <w:lang w:val="en-US" w:eastAsia="zh-CN"/>
              </w:rPr>
              <w:t>暴雨风险预报</w:t>
            </w:r>
          </w:p>
        </w:tc>
        <w:tc>
          <w:tcPr>
            <w:tcW w:w="2457" w:type="pct"/>
            <w:tcMar>
              <w:top w:w="60" w:type="dxa"/>
              <w:left w:w="120" w:type="dxa"/>
              <w:bottom w:w="30" w:type="dxa"/>
              <w:right w:w="120" w:type="dxa"/>
            </w:tcMar>
            <w:vAlign w:val="center"/>
          </w:tcPr>
          <w:p w14:paraId="76879BB0">
            <w:pPr>
              <w:pStyle w:val="25"/>
              <w:bidi w:val="0"/>
              <w:jc w:val="left"/>
              <w:rPr>
                <w:color w:val="auto"/>
                <w:highlight w:val="none"/>
              </w:rPr>
            </w:pPr>
            <w:r>
              <w:rPr>
                <w:color w:val="auto"/>
                <w:highlight w:val="none"/>
              </w:rPr>
              <w:t>展示区域</w:t>
            </w:r>
            <w:r>
              <w:rPr>
                <w:rFonts w:hint="eastAsia"/>
                <w:color w:val="auto"/>
                <w:highlight w:val="none"/>
                <w:lang w:val="en-US" w:eastAsia="zh-CN"/>
              </w:rPr>
              <w:t>内公交线路过去实况风险，未来24小时风险和未来72小时暴雨风险预报图</w:t>
            </w:r>
            <w:r>
              <w:rPr>
                <w:rFonts w:hint="eastAsia"/>
                <w:color w:val="auto"/>
                <w:highlight w:val="none"/>
                <w:lang w:eastAsia="zh-CN"/>
              </w:rPr>
              <w:t>，</w:t>
            </w:r>
            <w:r>
              <w:rPr>
                <w:rFonts w:hint="eastAsia"/>
                <w:color w:val="auto"/>
                <w:highlight w:val="none"/>
                <w:lang w:val="en-US" w:eastAsia="zh-CN"/>
              </w:rPr>
              <w:t>可查看风险时序</w:t>
            </w:r>
            <w:r>
              <w:rPr>
                <w:color w:val="auto"/>
                <w:highlight w:val="none"/>
              </w:rPr>
              <w:t>
</w:t>
            </w:r>
          </w:p>
        </w:tc>
      </w:tr>
      <w:tr w14:paraId="017EB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79" w:type="pct"/>
            <w:vMerge w:val="continue"/>
            <w:tcMar>
              <w:top w:w="60" w:type="dxa"/>
              <w:left w:w="120" w:type="dxa"/>
              <w:bottom w:w="30" w:type="dxa"/>
              <w:right w:w="120" w:type="dxa"/>
            </w:tcMar>
            <w:vAlign w:val="center"/>
          </w:tcPr>
          <w:p w14:paraId="26A39F08">
            <w:pPr>
              <w:pStyle w:val="25"/>
              <w:bidi w:val="0"/>
              <w:jc w:val="center"/>
              <w:rPr>
                <w:color w:val="auto"/>
                <w:highlight w:val="none"/>
              </w:rPr>
            </w:pPr>
          </w:p>
        </w:tc>
        <w:tc>
          <w:tcPr>
            <w:tcW w:w="833" w:type="pct"/>
            <w:vMerge w:val="restart"/>
            <w:tcMar>
              <w:top w:w="60" w:type="dxa"/>
              <w:left w:w="120" w:type="dxa"/>
              <w:bottom w:w="30" w:type="dxa"/>
              <w:right w:w="120" w:type="dxa"/>
            </w:tcMar>
            <w:vAlign w:val="center"/>
          </w:tcPr>
          <w:p w14:paraId="5CE39EC0">
            <w:pPr>
              <w:pStyle w:val="25"/>
              <w:bidi w:val="0"/>
              <w:jc w:val="center"/>
              <w:rPr>
                <w:color w:val="auto"/>
                <w:highlight w:val="none"/>
              </w:rPr>
            </w:pPr>
            <w:r>
              <w:rPr>
                <w:rFonts w:hint="eastAsia"/>
                <w:color w:val="auto"/>
                <w:highlight w:val="none"/>
                <w:lang w:val="en-US" w:eastAsia="zh-CN"/>
              </w:rPr>
              <w:t>风险点位子</w:t>
            </w:r>
            <w:r>
              <w:rPr>
                <w:color w:val="auto"/>
                <w:highlight w:val="none"/>
              </w:rPr>
              <w:t>模块
</w:t>
            </w:r>
          </w:p>
        </w:tc>
        <w:tc>
          <w:tcPr>
            <w:tcW w:w="929" w:type="pct"/>
            <w:tcMar>
              <w:top w:w="60" w:type="dxa"/>
              <w:left w:w="120" w:type="dxa"/>
              <w:bottom w:w="30" w:type="dxa"/>
              <w:right w:w="120" w:type="dxa"/>
            </w:tcMar>
            <w:vAlign w:val="center"/>
          </w:tcPr>
          <w:p w14:paraId="424092BB">
            <w:pPr>
              <w:pStyle w:val="25"/>
              <w:bidi w:val="0"/>
              <w:jc w:val="center"/>
              <w:rPr>
                <w:rFonts w:hint="default" w:eastAsia="宋体"/>
                <w:color w:val="auto"/>
                <w:highlight w:val="none"/>
                <w:lang w:val="en-US" w:eastAsia="zh-CN"/>
              </w:rPr>
            </w:pPr>
            <w:r>
              <w:rPr>
                <w:rFonts w:hint="eastAsia"/>
                <w:color w:val="auto"/>
                <w:highlight w:val="none"/>
                <w:lang w:val="en-US" w:eastAsia="zh-CN"/>
              </w:rPr>
              <w:t>易结冰点位风险预报</w:t>
            </w:r>
          </w:p>
        </w:tc>
        <w:tc>
          <w:tcPr>
            <w:tcW w:w="2457" w:type="pct"/>
            <w:tcMar>
              <w:top w:w="60" w:type="dxa"/>
              <w:left w:w="120" w:type="dxa"/>
              <w:bottom w:w="30" w:type="dxa"/>
              <w:right w:w="120" w:type="dxa"/>
            </w:tcMar>
            <w:vAlign w:val="center"/>
          </w:tcPr>
          <w:p w14:paraId="1F75A829">
            <w:pPr>
              <w:pStyle w:val="25"/>
              <w:bidi w:val="0"/>
              <w:jc w:val="left"/>
              <w:rPr>
                <w:color w:val="auto"/>
                <w:highlight w:val="none"/>
              </w:rPr>
            </w:pPr>
            <w:r>
              <w:rPr>
                <w:rFonts w:hint="eastAsia"/>
                <w:color w:val="auto"/>
                <w:highlight w:val="none"/>
                <w:lang w:val="en-US" w:eastAsia="zh-CN"/>
              </w:rPr>
              <w:t>展示区域内易结冰点位风险等级</w:t>
            </w:r>
            <w:r>
              <w:rPr>
                <w:color w:val="auto"/>
                <w:highlight w:val="none"/>
              </w:rPr>
              <w:t>
</w:t>
            </w:r>
          </w:p>
        </w:tc>
      </w:tr>
      <w:tr w14:paraId="25170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79" w:type="pct"/>
            <w:vMerge w:val="continue"/>
            <w:tcMar>
              <w:top w:w="60" w:type="dxa"/>
              <w:left w:w="120" w:type="dxa"/>
              <w:bottom w:w="30" w:type="dxa"/>
              <w:right w:w="120" w:type="dxa"/>
            </w:tcMar>
            <w:vAlign w:val="center"/>
          </w:tcPr>
          <w:p w14:paraId="04D4245C">
            <w:pPr>
              <w:pStyle w:val="25"/>
              <w:bidi w:val="0"/>
              <w:jc w:val="center"/>
              <w:rPr>
                <w:color w:val="auto"/>
                <w:highlight w:val="none"/>
              </w:rPr>
            </w:pPr>
          </w:p>
        </w:tc>
        <w:tc>
          <w:tcPr>
            <w:tcW w:w="833" w:type="pct"/>
            <w:vMerge w:val="continue"/>
            <w:tcMar>
              <w:top w:w="60" w:type="dxa"/>
              <w:left w:w="120" w:type="dxa"/>
              <w:bottom w:w="30" w:type="dxa"/>
              <w:right w:w="120" w:type="dxa"/>
            </w:tcMar>
            <w:vAlign w:val="center"/>
          </w:tcPr>
          <w:p w14:paraId="0234341C">
            <w:pPr>
              <w:pStyle w:val="25"/>
              <w:bidi w:val="0"/>
              <w:jc w:val="center"/>
              <w:rPr>
                <w:color w:val="auto"/>
                <w:highlight w:val="none"/>
              </w:rPr>
            </w:pPr>
          </w:p>
        </w:tc>
        <w:tc>
          <w:tcPr>
            <w:tcW w:w="929" w:type="pct"/>
            <w:tcMar>
              <w:top w:w="60" w:type="dxa"/>
              <w:left w:w="120" w:type="dxa"/>
              <w:bottom w:w="30" w:type="dxa"/>
              <w:right w:w="120" w:type="dxa"/>
            </w:tcMar>
            <w:vAlign w:val="center"/>
          </w:tcPr>
          <w:p w14:paraId="2351090B">
            <w:pPr>
              <w:pStyle w:val="25"/>
              <w:bidi w:val="0"/>
              <w:jc w:val="center"/>
              <w:rPr>
                <w:color w:val="auto"/>
                <w:highlight w:val="none"/>
              </w:rPr>
            </w:pPr>
            <w:r>
              <w:rPr>
                <w:rFonts w:hint="eastAsia"/>
                <w:color w:val="auto"/>
                <w:highlight w:val="none"/>
                <w:lang w:val="en-US" w:eastAsia="zh-CN"/>
              </w:rPr>
              <w:t>易起雾点位风险预报</w:t>
            </w:r>
          </w:p>
        </w:tc>
        <w:tc>
          <w:tcPr>
            <w:tcW w:w="2457" w:type="pct"/>
            <w:tcMar>
              <w:top w:w="60" w:type="dxa"/>
              <w:left w:w="120" w:type="dxa"/>
              <w:bottom w:w="30" w:type="dxa"/>
              <w:right w:w="120" w:type="dxa"/>
            </w:tcMar>
            <w:vAlign w:val="center"/>
          </w:tcPr>
          <w:p w14:paraId="094AFC2B">
            <w:pPr>
              <w:pStyle w:val="25"/>
              <w:bidi w:val="0"/>
              <w:jc w:val="left"/>
              <w:rPr>
                <w:color w:val="auto"/>
                <w:highlight w:val="none"/>
              </w:rPr>
            </w:pPr>
            <w:r>
              <w:rPr>
                <w:rFonts w:hint="eastAsia"/>
                <w:color w:val="auto"/>
                <w:highlight w:val="none"/>
                <w:lang w:val="en-US" w:eastAsia="zh-CN"/>
              </w:rPr>
              <w:t>展示区域内易起雾点位风险等级</w:t>
            </w:r>
            <w:r>
              <w:rPr>
                <w:color w:val="auto"/>
                <w:highlight w:val="none"/>
              </w:rPr>
              <w:t>
</w:t>
            </w:r>
          </w:p>
        </w:tc>
      </w:tr>
      <w:tr w14:paraId="6C7D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79" w:type="pct"/>
            <w:vMerge w:val="continue"/>
            <w:tcMar>
              <w:top w:w="60" w:type="dxa"/>
              <w:left w:w="120" w:type="dxa"/>
              <w:bottom w:w="30" w:type="dxa"/>
              <w:right w:w="120" w:type="dxa"/>
            </w:tcMar>
            <w:vAlign w:val="center"/>
          </w:tcPr>
          <w:p w14:paraId="52B526B8">
            <w:pPr>
              <w:pStyle w:val="25"/>
              <w:bidi w:val="0"/>
              <w:jc w:val="center"/>
              <w:rPr>
                <w:color w:val="auto"/>
                <w:highlight w:val="none"/>
              </w:rPr>
            </w:pPr>
          </w:p>
        </w:tc>
        <w:tc>
          <w:tcPr>
            <w:tcW w:w="833" w:type="pct"/>
            <w:tcMar>
              <w:top w:w="60" w:type="dxa"/>
              <w:left w:w="120" w:type="dxa"/>
              <w:bottom w:w="30" w:type="dxa"/>
              <w:right w:w="120" w:type="dxa"/>
            </w:tcMar>
            <w:vAlign w:val="center"/>
          </w:tcPr>
          <w:p w14:paraId="3FF1154C">
            <w:pPr>
              <w:pStyle w:val="25"/>
              <w:bidi w:val="0"/>
              <w:jc w:val="center"/>
              <w:rPr>
                <w:rFonts w:hint="default" w:eastAsia="宋体"/>
                <w:color w:val="auto"/>
                <w:highlight w:val="none"/>
                <w:lang w:val="en-US" w:eastAsia="zh-CN"/>
              </w:rPr>
            </w:pPr>
            <w:r>
              <w:rPr>
                <w:rFonts w:hint="eastAsia"/>
                <w:color w:val="auto"/>
                <w:highlight w:val="none"/>
                <w:lang w:val="en-US" w:eastAsia="zh-CN"/>
              </w:rPr>
              <w:t>车辆位置信息子模块</w:t>
            </w:r>
          </w:p>
        </w:tc>
        <w:tc>
          <w:tcPr>
            <w:tcW w:w="929" w:type="pct"/>
            <w:tcMar>
              <w:top w:w="60" w:type="dxa"/>
              <w:left w:w="120" w:type="dxa"/>
              <w:bottom w:w="30" w:type="dxa"/>
              <w:right w:w="120" w:type="dxa"/>
            </w:tcMar>
            <w:vAlign w:val="center"/>
          </w:tcPr>
          <w:p w14:paraId="09D4BF5F">
            <w:pPr>
              <w:pStyle w:val="25"/>
              <w:bidi w:val="0"/>
              <w:jc w:val="center"/>
              <w:rPr>
                <w:rFonts w:hint="default"/>
                <w:color w:val="auto"/>
                <w:highlight w:val="none"/>
                <w:lang w:val="en-US" w:eastAsia="zh-CN"/>
              </w:rPr>
            </w:pPr>
            <w:r>
              <w:rPr>
                <w:rFonts w:hint="eastAsia"/>
                <w:color w:val="auto"/>
                <w:highlight w:val="none"/>
                <w:lang w:val="en-US" w:eastAsia="zh-CN"/>
              </w:rPr>
              <w:t>车辆位置信息</w:t>
            </w:r>
          </w:p>
        </w:tc>
        <w:tc>
          <w:tcPr>
            <w:tcW w:w="2457" w:type="pct"/>
            <w:tcMar>
              <w:top w:w="60" w:type="dxa"/>
              <w:left w:w="120" w:type="dxa"/>
              <w:bottom w:w="30" w:type="dxa"/>
              <w:right w:w="120" w:type="dxa"/>
            </w:tcMar>
            <w:vAlign w:val="center"/>
          </w:tcPr>
          <w:p w14:paraId="39932FB6">
            <w:pPr>
              <w:pStyle w:val="25"/>
              <w:bidi w:val="0"/>
              <w:jc w:val="left"/>
              <w:rPr>
                <w:rFonts w:hint="default"/>
                <w:color w:val="auto"/>
                <w:highlight w:val="none"/>
                <w:lang w:val="en-US" w:eastAsia="zh-CN"/>
              </w:rPr>
            </w:pPr>
            <w:r>
              <w:rPr>
                <w:rFonts w:hint="eastAsia"/>
                <w:color w:val="auto"/>
                <w:highlight w:val="none"/>
                <w:lang w:val="en-US" w:eastAsia="zh-CN"/>
              </w:rPr>
              <w:t>展示车辆实时位置信息，并可根据路线统计车辆数量</w:t>
            </w:r>
          </w:p>
        </w:tc>
      </w:tr>
      <w:tr w14:paraId="6FE6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79" w:type="pct"/>
            <w:vMerge w:val="continue"/>
            <w:tcMar>
              <w:top w:w="60" w:type="dxa"/>
              <w:left w:w="120" w:type="dxa"/>
              <w:bottom w:w="30" w:type="dxa"/>
              <w:right w:w="120" w:type="dxa"/>
            </w:tcMar>
            <w:vAlign w:val="center"/>
          </w:tcPr>
          <w:p w14:paraId="69A9E2D2">
            <w:pPr>
              <w:pStyle w:val="25"/>
              <w:bidi w:val="0"/>
              <w:jc w:val="center"/>
              <w:rPr>
                <w:color w:val="auto"/>
                <w:highlight w:val="none"/>
              </w:rPr>
            </w:pPr>
          </w:p>
        </w:tc>
        <w:tc>
          <w:tcPr>
            <w:tcW w:w="833" w:type="pct"/>
            <w:tcMar>
              <w:top w:w="60" w:type="dxa"/>
              <w:left w:w="120" w:type="dxa"/>
              <w:bottom w:w="30" w:type="dxa"/>
              <w:right w:w="120" w:type="dxa"/>
            </w:tcMar>
            <w:vAlign w:val="center"/>
          </w:tcPr>
          <w:p w14:paraId="6972B243">
            <w:pPr>
              <w:pStyle w:val="25"/>
              <w:bidi w:val="0"/>
              <w:jc w:val="center"/>
              <w:rPr>
                <w:color w:val="auto"/>
                <w:highlight w:val="none"/>
              </w:rPr>
            </w:pPr>
            <w:r>
              <w:rPr>
                <w:color w:val="auto"/>
                <w:highlight w:val="none"/>
              </w:rPr>
              <w:t>服务材料子模块
</w:t>
            </w:r>
          </w:p>
        </w:tc>
        <w:tc>
          <w:tcPr>
            <w:tcW w:w="929" w:type="pct"/>
            <w:tcMar>
              <w:top w:w="60" w:type="dxa"/>
              <w:left w:w="120" w:type="dxa"/>
              <w:bottom w:w="30" w:type="dxa"/>
              <w:right w:w="120" w:type="dxa"/>
            </w:tcMar>
            <w:vAlign w:val="center"/>
          </w:tcPr>
          <w:p w14:paraId="279B365A">
            <w:pPr>
              <w:pStyle w:val="25"/>
              <w:bidi w:val="0"/>
              <w:jc w:val="center"/>
              <w:rPr>
                <w:color w:val="auto"/>
                <w:highlight w:val="none"/>
              </w:rPr>
            </w:pPr>
            <w:r>
              <w:rPr>
                <w:color w:val="auto"/>
                <w:highlight w:val="none"/>
              </w:rPr>
              <w:t>日报 / 周报
</w:t>
            </w:r>
          </w:p>
        </w:tc>
        <w:tc>
          <w:tcPr>
            <w:tcW w:w="2457" w:type="pct"/>
            <w:tcMar>
              <w:top w:w="60" w:type="dxa"/>
              <w:left w:w="120" w:type="dxa"/>
              <w:bottom w:w="30" w:type="dxa"/>
              <w:right w:w="120" w:type="dxa"/>
            </w:tcMar>
            <w:vAlign w:val="center"/>
          </w:tcPr>
          <w:p w14:paraId="436BEEE2">
            <w:pPr>
              <w:pStyle w:val="25"/>
              <w:bidi w:val="0"/>
              <w:jc w:val="left"/>
              <w:rPr>
                <w:color w:val="auto"/>
                <w:highlight w:val="none"/>
              </w:rPr>
            </w:pPr>
            <w:r>
              <w:rPr>
                <w:rFonts w:hint="eastAsia"/>
                <w:color w:val="auto"/>
                <w:highlight w:val="none"/>
                <w:lang w:val="en-US" w:eastAsia="zh-CN"/>
              </w:rPr>
              <w:t>根据模版一天生成2次相关</w:t>
            </w:r>
            <w:r>
              <w:rPr>
                <w:color w:val="auto"/>
                <w:highlight w:val="none"/>
              </w:rPr>
              <w:t>PDF 文件</w:t>
            </w:r>
            <w:r>
              <w:rPr>
                <w:rFonts w:hint="eastAsia"/>
                <w:color w:val="auto"/>
                <w:highlight w:val="none"/>
                <w:lang w:eastAsia="zh-CN"/>
              </w:rPr>
              <w:t>，</w:t>
            </w:r>
            <w:r>
              <w:rPr>
                <w:rFonts w:hint="eastAsia"/>
                <w:color w:val="auto"/>
                <w:highlight w:val="none"/>
                <w:lang w:val="en-US" w:eastAsia="zh-CN"/>
              </w:rPr>
              <w:t>管理员可编辑</w:t>
            </w:r>
            <w:r>
              <w:rPr>
                <w:color w:val="auto"/>
                <w:highlight w:val="none"/>
              </w:rPr>
              <w:t>
</w:t>
            </w:r>
          </w:p>
        </w:tc>
      </w:tr>
      <w:tr w14:paraId="2FF78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79" w:type="pct"/>
            <w:vMerge w:val="continue"/>
            <w:tcMar>
              <w:top w:w="60" w:type="dxa"/>
              <w:left w:w="120" w:type="dxa"/>
              <w:bottom w:w="30" w:type="dxa"/>
              <w:right w:w="120" w:type="dxa"/>
            </w:tcMar>
            <w:vAlign w:val="center"/>
          </w:tcPr>
          <w:p w14:paraId="4BAC3049">
            <w:pPr>
              <w:pStyle w:val="25"/>
              <w:bidi w:val="0"/>
              <w:jc w:val="center"/>
              <w:rPr>
                <w:color w:val="auto"/>
                <w:highlight w:val="none"/>
              </w:rPr>
            </w:pPr>
          </w:p>
        </w:tc>
        <w:tc>
          <w:tcPr>
            <w:tcW w:w="833" w:type="pct"/>
            <w:tcMar>
              <w:top w:w="60" w:type="dxa"/>
              <w:left w:w="120" w:type="dxa"/>
              <w:bottom w:w="30" w:type="dxa"/>
              <w:right w:w="120" w:type="dxa"/>
            </w:tcMar>
            <w:vAlign w:val="center"/>
          </w:tcPr>
          <w:p w14:paraId="448D9C02">
            <w:pPr>
              <w:pStyle w:val="25"/>
              <w:bidi w:val="0"/>
              <w:jc w:val="center"/>
              <w:rPr>
                <w:color w:val="auto"/>
                <w:highlight w:val="none"/>
              </w:rPr>
            </w:pPr>
            <w:r>
              <w:rPr>
                <w:color w:val="auto"/>
                <w:highlight w:val="none"/>
              </w:rPr>
              <w:t>消息列表子模块
</w:t>
            </w:r>
          </w:p>
        </w:tc>
        <w:tc>
          <w:tcPr>
            <w:tcW w:w="929" w:type="pct"/>
            <w:tcMar>
              <w:top w:w="60" w:type="dxa"/>
              <w:left w:w="120" w:type="dxa"/>
              <w:bottom w:w="30" w:type="dxa"/>
              <w:right w:w="120" w:type="dxa"/>
            </w:tcMar>
            <w:vAlign w:val="center"/>
          </w:tcPr>
          <w:p w14:paraId="5B2F08D0">
            <w:pPr>
              <w:pStyle w:val="25"/>
              <w:bidi w:val="0"/>
              <w:jc w:val="center"/>
              <w:rPr>
                <w:color w:val="auto"/>
                <w:highlight w:val="none"/>
              </w:rPr>
            </w:pPr>
            <w:r>
              <w:rPr>
                <w:color w:val="auto"/>
                <w:highlight w:val="none"/>
              </w:rPr>
              <w:t>消息列表
</w:t>
            </w:r>
          </w:p>
        </w:tc>
        <w:tc>
          <w:tcPr>
            <w:tcW w:w="2457" w:type="pct"/>
            <w:tcMar>
              <w:top w:w="60" w:type="dxa"/>
              <w:left w:w="120" w:type="dxa"/>
              <w:bottom w:w="30" w:type="dxa"/>
              <w:right w:w="120" w:type="dxa"/>
            </w:tcMar>
            <w:vAlign w:val="center"/>
          </w:tcPr>
          <w:p w14:paraId="584ADC5B">
            <w:pPr>
              <w:pStyle w:val="25"/>
              <w:bidi w:val="0"/>
              <w:jc w:val="left"/>
              <w:rPr>
                <w:color w:val="auto"/>
                <w:highlight w:val="none"/>
              </w:rPr>
            </w:pPr>
            <w:r>
              <w:rPr>
                <w:rFonts w:hint="eastAsia"/>
                <w:color w:val="auto"/>
                <w:highlight w:val="none"/>
                <w:lang w:val="en-US" w:eastAsia="zh-CN"/>
              </w:rPr>
              <w:t>根据线路风险预警规则实时生成线路风险统计报告，</w:t>
            </w:r>
            <w:r>
              <w:rPr>
                <w:color w:val="auto"/>
                <w:highlight w:val="none"/>
              </w:rPr>
              <w:t>按日期展示风险提醒信息，</w:t>
            </w:r>
            <w:r>
              <w:rPr>
                <w:rFonts w:hint="eastAsia"/>
                <w:color w:val="auto"/>
                <w:highlight w:val="none"/>
                <w:lang w:val="en-US" w:eastAsia="zh-CN"/>
              </w:rPr>
              <w:t>管理员可</w:t>
            </w:r>
            <w:r>
              <w:rPr>
                <w:color w:val="auto"/>
                <w:highlight w:val="none"/>
              </w:rPr>
              <w:t>进行编辑操作
</w:t>
            </w:r>
          </w:p>
        </w:tc>
      </w:tr>
      <w:tr w14:paraId="58DF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79" w:type="pct"/>
            <w:tcMar>
              <w:top w:w="60" w:type="dxa"/>
              <w:left w:w="120" w:type="dxa"/>
              <w:bottom w:w="30" w:type="dxa"/>
              <w:right w:w="120" w:type="dxa"/>
            </w:tcMar>
            <w:vAlign w:val="center"/>
          </w:tcPr>
          <w:p w14:paraId="0A49F7A3">
            <w:pPr>
              <w:pStyle w:val="25"/>
              <w:bidi w:val="0"/>
              <w:jc w:val="center"/>
              <w:rPr>
                <w:color w:val="auto"/>
                <w:highlight w:val="none"/>
              </w:rPr>
            </w:pPr>
            <w:r>
              <w:rPr>
                <w:color w:val="auto"/>
                <w:highlight w:val="none"/>
              </w:rPr>
              <w:t>系统设置
</w:t>
            </w:r>
          </w:p>
        </w:tc>
        <w:tc>
          <w:tcPr>
            <w:tcW w:w="833" w:type="pct"/>
            <w:tcMar>
              <w:top w:w="60" w:type="dxa"/>
              <w:left w:w="120" w:type="dxa"/>
              <w:bottom w:w="30" w:type="dxa"/>
              <w:right w:w="120" w:type="dxa"/>
            </w:tcMar>
            <w:vAlign w:val="center"/>
          </w:tcPr>
          <w:p w14:paraId="4104F72F">
            <w:pPr>
              <w:pStyle w:val="25"/>
              <w:bidi w:val="0"/>
              <w:jc w:val="center"/>
              <w:rPr>
                <w:color w:val="auto"/>
                <w:highlight w:val="none"/>
              </w:rPr>
            </w:pPr>
            <w:r>
              <w:rPr>
                <w:rFonts w:hint="eastAsia"/>
                <w:color w:val="auto"/>
                <w:highlight w:val="none"/>
                <w:lang w:val="en-US" w:eastAsia="zh-CN"/>
              </w:rPr>
              <w:t>阈值设置</w:t>
            </w:r>
            <w:r>
              <w:rPr>
                <w:color w:val="auto"/>
                <w:highlight w:val="none"/>
              </w:rPr>
              <w:t>
</w:t>
            </w:r>
          </w:p>
        </w:tc>
        <w:tc>
          <w:tcPr>
            <w:tcW w:w="929" w:type="pct"/>
            <w:tcMar>
              <w:top w:w="60" w:type="dxa"/>
              <w:left w:w="120" w:type="dxa"/>
              <w:bottom w:w="30" w:type="dxa"/>
              <w:right w:w="120" w:type="dxa"/>
            </w:tcMar>
            <w:vAlign w:val="center"/>
          </w:tcPr>
          <w:p w14:paraId="46771E4A">
            <w:pPr>
              <w:pStyle w:val="25"/>
              <w:bidi w:val="0"/>
              <w:jc w:val="center"/>
              <w:rPr>
                <w:color w:val="auto"/>
                <w:highlight w:val="none"/>
              </w:rPr>
            </w:pPr>
            <w:r>
              <w:rPr>
                <w:color w:val="auto"/>
                <w:highlight w:val="none"/>
              </w:rPr>
              <w:t>
</w:t>
            </w:r>
          </w:p>
        </w:tc>
        <w:tc>
          <w:tcPr>
            <w:tcW w:w="2457" w:type="pct"/>
            <w:tcMar>
              <w:top w:w="60" w:type="dxa"/>
              <w:left w:w="120" w:type="dxa"/>
              <w:bottom w:w="30" w:type="dxa"/>
              <w:right w:w="120" w:type="dxa"/>
            </w:tcMar>
            <w:vAlign w:val="center"/>
          </w:tcPr>
          <w:p w14:paraId="27EF4874">
            <w:pPr>
              <w:pStyle w:val="25"/>
              <w:bidi w:val="0"/>
              <w:jc w:val="center"/>
              <w:rPr>
                <w:color w:val="auto"/>
                <w:highlight w:val="none"/>
              </w:rPr>
            </w:pPr>
            <w:r>
              <w:rPr>
                <w:rFonts w:hint="eastAsia"/>
                <w:color w:val="auto"/>
                <w:highlight w:val="none"/>
                <w:lang w:val="en-US" w:eastAsia="zh-CN"/>
              </w:rPr>
              <w:t>修改对应阈值参数</w:t>
            </w:r>
            <w:r>
              <w:rPr>
                <w:color w:val="auto"/>
                <w:highlight w:val="none"/>
              </w:rPr>
              <w:t>
</w:t>
            </w:r>
          </w:p>
        </w:tc>
      </w:tr>
    </w:tbl>
    <w:p w14:paraId="624CA335">
      <w:pPr>
        <w:pStyle w:val="17"/>
        <w:adjustRightInd w:val="0"/>
        <w:snapToGrid w:val="0"/>
        <w:spacing w:line="440" w:lineRule="atLeast"/>
        <w:rPr>
          <w:rFonts w:hint="eastAsia" w:hAnsi="宋体" w:eastAsia="宋体"/>
          <w:color w:val="auto"/>
          <w:sz w:val="22"/>
          <w:szCs w:val="22"/>
          <w:highlight w:val="none"/>
        </w:rPr>
      </w:pPr>
    </w:p>
    <w:p w14:paraId="5F59614F">
      <w:pPr>
        <w:pStyle w:val="17"/>
        <w:adjustRightInd w:val="0"/>
        <w:snapToGrid w:val="0"/>
        <w:spacing w:line="440" w:lineRule="atLeast"/>
        <w:rPr>
          <w:rFonts w:hint="eastAsia" w:hAnsi="宋体" w:eastAsia="宋体"/>
          <w:color w:val="auto"/>
          <w:sz w:val="22"/>
          <w:szCs w:val="22"/>
          <w:highlight w:val="none"/>
        </w:rPr>
      </w:pPr>
    </w:p>
    <w:p w14:paraId="427FD3CD">
      <w:pPr>
        <w:pStyle w:val="17"/>
        <w:adjustRightInd w:val="0"/>
        <w:snapToGrid w:val="0"/>
        <w:spacing w:line="440" w:lineRule="atLeast"/>
        <w:rPr>
          <w:rFonts w:hint="eastAsia" w:hAnsi="宋体" w:eastAsia="宋体"/>
          <w:color w:val="auto"/>
          <w:sz w:val="22"/>
          <w:szCs w:val="22"/>
          <w:highlight w:val="none"/>
        </w:rPr>
      </w:pPr>
    </w:p>
    <w:p w14:paraId="58C8D8FA">
      <w:pPr>
        <w:pStyle w:val="17"/>
        <w:adjustRightInd w:val="0"/>
        <w:snapToGrid w:val="0"/>
        <w:spacing w:line="440" w:lineRule="atLeast"/>
        <w:rPr>
          <w:rFonts w:hint="eastAsia" w:hAnsi="宋体" w:eastAsia="宋体"/>
          <w:color w:val="auto"/>
          <w:sz w:val="22"/>
          <w:szCs w:val="22"/>
          <w:highlight w:val="none"/>
        </w:rPr>
      </w:pPr>
      <w:r>
        <w:rPr>
          <w:rFonts w:hint="eastAsia" w:hAnsi="宋体" w:eastAsia="宋体"/>
          <w:color w:val="auto"/>
          <w:sz w:val="22"/>
          <w:szCs w:val="22"/>
          <w:highlight w:val="none"/>
        </w:rPr>
        <w:t>三、商务条款</w:t>
      </w:r>
    </w:p>
    <w:p w14:paraId="0A751C5E">
      <w:pPr>
        <w:pStyle w:val="17"/>
        <w:adjustRightInd w:val="0"/>
        <w:snapToGrid w:val="0"/>
        <w:spacing w:line="400" w:lineRule="atLeast"/>
        <w:ind w:firstLine="442"/>
        <w:rPr>
          <w:rFonts w:hint="eastAsia" w:hAnsi="宋体" w:eastAsia="宋体"/>
          <w:b w:val="0"/>
          <w:color w:val="auto"/>
          <w:sz w:val="22"/>
          <w:szCs w:val="22"/>
          <w:highlight w:val="none"/>
        </w:rPr>
      </w:pPr>
      <w:r>
        <w:rPr>
          <w:rFonts w:hint="eastAsia" w:hAnsi="宋体" w:eastAsia="宋体"/>
          <w:b w:val="0"/>
          <w:color w:val="auto"/>
          <w:sz w:val="22"/>
          <w:szCs w:val="22"/>
          <w:highlight w:val="none"/>
        </w:rPr>
        <w:t>1、售后服务要求</w:t>
      </w:r>
    </w:p>
    <w:p w14:paraId="36F8EB76">
      <w:pPr>
        <w:pStyle w:val="17"/>
        <w:adjustRightInd w:val="0"/>
        <w:snapToGrid w:val="0"/>
        <w:spacing w:line="400" w:lineRule="atLeast"/>
        <w:ind w:firstLine="422"/>
        <w:rPr>
          <w:rFonts w:hint="eastAsia" w:hAnsi="宋体" w:eastAsia="宋体"/>
          <w:b w:val="0"/>
          <w:color w:val="auto"/>
          <w:sz w:val="22"/>
          <w:szCs w:val="22"/>
          <w:highlight w:val="none"/>
        </w:rPr>
      </w:pPr>
      <w:r>
        <w:rPr>
          <w:rFonts w:hint="eastAsia" w:hAnsi="宋体" w:eastAsia="宋体"/>
          <w:b w:val="0"/>
          <w:color w:val="auto"/>
          <w:sz w:val="22"/>
          <w:szCs w:val="22"/>
          <w:highlight w:val="none"/>
        </w:rPr>
        <w:t>投标人必须向采购人提供本项目设备的安装、调试、培训和技术服务的全部内容，并保障整个系统的正常、安全运行。</w:t>
      </w:r>
    </w:p>
    <w:p w14:paraId="0C0172FB">
      <w:pPr>
        <w:pStyle w:val="17"/>
        <w:adjustRightInd w:val="0"/>
        <w:snapToGrid w:val="0"/>
        <w:spacing w:line="400" w:lineRule="atLeast"/>
        <w:ind w:firstLine="422"/>
        <w:rPr>
          <w:rFonts w:hint="eastAsia" w:hAnsi="宋体" w:eastAsia="宋体"/>
          <w:b w:val="0"/>
          <w:color w:val="auto"/>
          <w:sz w:val="22"/>
          <w:szCs w:val="22"/>
          <w:highlight w:val="none"/>
        </w:rPr>
      </w:pPr>
      <w:r>
        <w:rPr>
          <w:rFonts w:hint="eastAsia" w:hAnsi="宋体" w:eastAsia="宋体"/>
          <w:b w:val="0"/>
          <w:color w:val="auto"/>
          <w:sz w:val="22"/>
          <w:szCs w:val="22"/>
          <w:highlight w:val="none"/>
        </w:rPr>
        <w:t>对投标人的要求：</w:t>
      </w:r>
    </w:p>
    <w:p w14:paraId="349C7FEF">
      <w:pPr>
        <w:pStyle w:val="17"/>
        <w:adjustRightInd w:val="0"/>
        <w:snapToGrid w:val="0"/>
        <w:spacing w:line="400" w:lineRule="atLeast"/>
        <w:ind w:left="422"/>
        <w:rPr>
          <w:rFonts w:hint="eastAsia" w:hAnsi="宋体" w:eastAsia="宋体"/>
          <w:b w:val="0"/>
          <w:color w:val="auto"/>
          <w:sz w:val="22"/>
          <w:szCs w:val="22"/>
          <w:highlight w:val="none"/>
        </w:rPr>
      </w:pPr>
      <w:r>
        <w:rPr>
          <w:rFonts w:hint="eastAsia" w:hAnsi="宋体" w:eastAsia="宋体"/>
          <w:b w:val="0"/>
          <w:color w:val="auto"/>
          <w:sz w:val="22"/>
          <w:szCs w:val="22"/>
          <w:highlight w:val="none"/>
        </w:rPr>
        <w:t>1）安装、调试、试运行和培训；</w:t>
      </w:r>
    </w:p>
    <w:p w14:paraId="42562D2B">
      <w:pPr>
        <w:pStyle w:val="17"/>
        <w:adjustRightInd w:val="0"/>
        <w:snapToGrid w:val="0"/>
        <w:spacing w:line="400" w:lineRule="atLeast"/>
        <w:ind w:left="422"/>
        <w:rPr>
          <w:rFonts w:hint="eastAsia" w:hAnsi="宋体" w:eastAsia="宋体"/>
          <w:b w:val="0"/>
          <w:color w:val="auto"/>
          <w:sz w:val="22"/>
          <w:szCs w:val="22"/>
          <w:highlight w:val="none"/>
        </w:rPr>
      </w:pPr>
      <w:r>
        <w:rPr>
          <w:rFonts w:hint="eastAsia" w:hAnsi="宋体" w:eastAsia="宋体"/>
          <w:b w:val="0"/>
          <w:color w:val="auto"/>
          <w:sz w:val="22"/>
          <w:szCs w:val="22"/>
          <w:highlight w:val="none"/>
        </w:rPr>
        <w:t>人员安排；</w:t>
      </w:r>
    </w:p>
    <w:p w14:paraId="73D3B97F">
      <w:pPr>
        <w:pStyle w:val="17"/>
        <w:adjustRightInd w:val="0"/>
        <w:snapToGrid w:val="0"/>
        <w:spacing w:line="400" w:lineRule="atLeast"/>
        <w:ind w:left="422"/>
        <w:rPr>
          <w:rFonts w:hint="eastAsia" w:hAnsi="宋体" w:eastAsia="宋体"/>
          <w:b w:val="0"/>
          <w:color w:val="auto"/>
          <w:sz w:val="22"/>
          <w:szCs w:val="22"/>
          <w:highlight w:val="none"/>
        </w:rPr>
      </w:pPr>
      <w:r>
        <w:rPr>
          <w:rFonts w:hint="eastAsia" w:hAnsi="宋体" w:eastAsia="宋体"/>
          <w:b w:val="0"/>
          <w:color w:val="auto"/>
          <w:sz w:val="22"/>
          <w:szCs w:val="22"/>
          <w:highlight w:val="none"/>
        </w:rPr>
        <w:t>明确责任人；</w:t>
      </w:r>
    </w:p>
    <w:p w14:paraId="1D4CC426">
      <w:pPr>
        <w:pStyle w:val="17"/>
        <w:adjustRightInd w:val="0"/>
        <w:snapToGrid w:val="0"/>
        <w:spacing w:line="400" w:lineRule="atLeast"/>
        <w:ind w:left="422"/>
        <w:rPr>
          <w:rFonts w:hint="eastAsia" w:hAnsi="宋体" w:eastAsia="宋体"/>
          <w:b w:val="0"/>
          <w:color w:val="auto"/>
          <w:sz w:val="22"/>
          <w:szCs w:val="22"/>
          <w:highlight w:val="none"/>
        </w:rPr>
      </w:pPr>
      <w:r>
        <w:rPr>
          <w:rFonts w:hint="eastAsia" w:hAnsi="宋体" w:eastAsia="宋体"/>
          <w:b w:val="0"/>
          <w:color w:val="auto"/>
          <w:sz w:val="22"/>
          <w:szCs w:val="22"/>
          <w:highlight w:val="none"/>
        </w:rPr>
        <w:t>时间计划（保证用户的时间要求）；</w:t>
      </w:r>
    </w:p>
    <w:p w14:paraId="4BA0629F">
      <w:pPr>
        <w:pStyle w:val="17"/>
        <w:adjustRightInd w:val="0"/>
        <w:snapToGrid w:val="0"/>
        <w:spacing w:line="400" w:lineRule="atLeast"/>
        <w:ind w:left="422"/>
        <w:rPr>
          <w:rFonts w:hint="eastAsia" w:hAnsi="宋体" w:eastAsia="宋体"/>
          <w:b w:val="0"/>
          <w:color w:val="auto"/>
          <w:sz w:val="22"/>
          <w:szCs w:val="22"/>
          <w:highlight w:val="none"/>
        </w:rPr>
      </w:pPr>
      <w:r>
        <w:rPr>
          <w:rFonts w:hint="eastAsia" w:hAnsi="宋体" w:eastAsia="宋体"/>
          <w:b w:val="0"/>
          <w:color w:val="auto"/>
          <w:sz w:val="22"/>
          <w:szCs w:val="22"/>
          <w:highlight w:val="none"/>
        </w:rPr>
        <w:t>对突发时间的设计与应对措施；</w:t>
      </w:r>
    </w:p>
    <w:p w14:paraId="1E950942">
      <w:pPr>
        <w:pStyle w:val="17"/>
        <w:adjustRightInd w:val="0"/>
        <w:snapToGrid w:val="0"/>
        <w:spacing w:line="400" w:lineRule="atLeast"/>
        <w:ind w:left="422"/>
        <w:rPr>
          <w:rFonts w:hint="eastAsia" w:hAnsi="宋体" w:eastAsia="宋体"/>
          <w:b w:val="0"/>
          <w:color w:val="auto"/>
          <w:sz w:val="22"/>
          <w:szCs w:val="22"/>
          <w:highlight w:val="none"/>
        </w:rPr>
      </w:pPr>
      <w:r>
        <w:rPr>
          <w:rFonts w:hint="eastAsia" w:hAnsi="宋体" w:eastAsia="宋体"/>
          <w:b w:val="0"/>
          <w:color w:val="auto"/>
          <w:sz w:val="22"/>
          <w:szCs w:val="22"/>
          <w:highlight w:val="none"/>
        </w:rPr>
        <w:t>技术资料及清单（中文版）。</w:t>
      </w:r>
    </w:p>
    <w:p w14:paraId="3DF5A58F">
      <w:pPr>
        <w:pStyle w:val="17"/>
        <w:adjustRightInd w:val="0"/>
        <w:snapToGrid w:val="0"/>
        <w:spacing w:line="400" w:lineRule="atLeast"/>
        <w:ind w:left="422"/>
        <w:rPr>
          <w:rFonts w:hint="eastAsia" w:hAnsi="宋体" w:eastAsia="宋体"/>
          <w:b w:val="0"/>
          <w:color w:val="auto"/>
          <w:sz w:val="22"/>
          <w:szCs w:val="22"/>
          <w:highlight w:val="none"/>
        </w:rPr>
      </w:pPr>
      <w:r>
        <w:rPr>
          <w:rFonts w:hint="eastAsia" w:hAnsi="宋体" w:eastAsia="宋体"/>
          <w:b w:val="0"/>
          <w:color w:val="auto"/>
          <w:sz w:val="22"/>
          <w:szCs w:val="22"/>
          <w:highlight w:val="none"/>
        </w:rPr>
        <w:t>2）对于服务必须包含如下内容：</w:t>
      </w:r>
    </w:p>
    <w:p w14:paraId="56B6EB44">
      <w:pPr>
        <w:adjustRightInd w:val="0"/>
        <w:snapToGrid w:val="0"/>
        <w:spacing w:line="400" w:lineRule="atLeast"/>
        <w:ind w:firstLine="442" w:firstLineChars="200"/>
        <w:rPr>
          <w:rFonts w:ascii="宋体" w:eastAsia="宋体"/>
          <w:b/>
          <w:bCs/>
          <w:color w:val="auto"/>
          <w:sz w:val="22"/>
          <w:szCs w:val="22"/>
          <w:highlight w:val="none"/>
        </w:rPr>
      </w:pPr>
      <w:r>
        <w:rPr>
          <w:rFonts w:hint="eastAsia" w:ascii="宋体" w:eastAsia="宋体"/>
          <w:b/>
          <w:bCs/>
          <w:color w:val="auto"/>
          <w:sz w:val="22"/>
          <w:szCs w:val="22"/>
          <w:highlight w:val="none"/>
        </w:rPr>
        <w:t>本项目质保期为三年，从验收通过之日起计算。</w:t>
      </w:r>
    </w:p>
    <w:p w14:paraId="4E43B503">
      <w:pPr>
        <w:adjustRightInd w:val="0"/>
        <w:snapToGrid w:val="0"/>
        <w:spacing w:line="400" w:lineRule="atLeast"/>
        <w:ind w:firstLine="442" w:firstLineChars="200"/>
        <w:rPr>
          <w:rFonts w:hint="eastAsia" w:ascii="宋体" w:eastAsia="宋体"/>
          <w:color w:val="auto"/>
          <w:sz w:val="22"/>
          <w:szCs w:val="22"/>
          <w:highlight w:val="none"/>
        </w:rPr>
      </w:pPr>
      <w:r>
        <w:rPr>
          <w:rFonts w:hint="eastAsia" w:ascii="宋体" w:eastAsia="宋体"/>
          <w:b/>
          <w:bCs/>
          <w:color w:val="auto"/>
          <w:sz w:val="22"/>
          <w:szCs w:val="22"/>
          <w:highlight w:val="none"/>
        </w:rPr>
        <w:t>除不可抗拒的因素（包含战争、自然灾害等不可抗力的客观因素）外，在质保期内因设备因故无法正常提供服务时，由中标供应商负责免费技术服务和维修、更换。质保期内由中标供应商负责维护、保养、维修，更换，建立备品备件库，以达到采购人正常使用的效果。质保期内维护、维修等费用均包含在投标总价中。</w:t>
      </w:r>
    </w:p>
    <w:p w14:paraId="74A6931C">
      <w:pPr>
        <w:adjustRightInd w:val="0"/>
        <w:snapToGrid w:val="0"/>
        <w:spacing w:line="400" w:lineRule="atLeast"/>
        <w:ind w:firstLine="440" w:firstLineChars="200"/>
        <w:rPr>
          <w:rFonts w:ascii="宋体" w:eastAsia="宋体"/>
          <w:b w:val="0"/>
          <w:color w:val="auto"/>
          <w:sz w:val="22"/>
          <w:szCs w:val="22"/>
          <w:highlight w:val="none"/>
        </w:rPr>
      </w:pPr>
      <w:r>
        <w:rPr>
          <w:rFonts w:hint="eastAsia" w:ascii="宋体" w:eastAsia="宋体"/>
          <w:b w:val="0"/>
          <w:color w:val="auto"/>
          <w:sz w:val="22"/>
          <w:szCs w:val="22"/>
          <w:highlight w:val="none"/>
        </w:rPr>
        <w:t>投标人应有完整的售后服务网点，确保采购人能及时得到满意的售后服务和相应的技术支持。</w:t>
      </w:r>
    </w:p>
    <w:p w14:paraId="6E564723">
      <w:pPr>
        <w:adjustRightInd w:val="0"/>
        <w:snapToGrid w:val="0"/>
        <w:spacing w:line="400" w:lineRule="atLeast"/>
        <w:ind w:firstLine="440" w:firstLineChars="200"/>
        <w:rPr>
          <w:rFonts w:ascii="宋体" w:eastAsia="宋体"/>
          <w:b w:val="0"/>
          <w:color w:val="auto"/>
          <w:sz w:val="22"/>
          <w:szCs w:val="22"/>
          <w:highlight w:val="none"/>
        </w:rPr>
      </w:pPr>
      <w:r>
        <w:rPr>
          <w:rFonts w:hint="eastAsia" w:ascii="宋体" w:eastAsia="宋体"/>
          <w:b w:val="0"/>
          <w:color w:val="auto"/>
          <w:sz w:val="22"/>
          <w:szCs w:val="22"/>
          <w:highlight w:val="none"/>
        </w:rPr>
        <w:t>投标人在投标文件中应详细介绍售后服务网点情况。</w:t>
      </w:r>
    </w:p>
    <w:p w14:paraId="57EBFF0E">
      <w:pPr>
        <w:adjustRightInd w:val="0"/>
        <w:snapToGrid w:val="0"/>
        <w:spacing w:line="400" w:lineRule="atLeast"/>
        <w:ind w:firstLine="440" w:firstLineChars="200"/>
        <w:rPr>
          <w:rFonts w:ascii="宋体" w:eastAsia="宋体"/>
          <w:b w:val="0"/>
          <w:color w:val="auto"/>
          <w:sz w:val="22"/>
          <w:szCs w:val="22"/>
          <w:highlight w:val="none"/>
        </w:rPr>
      </w:pPr>
      <w:r>
        <w:rPr>
          <w:rFonts w:hint="eastAsia" w:ascii="宋体" w:eastAsia="宋体"/>
          <w:b w:val="0"/>
          <w:color w:val="auto"/>
          <w:sz w:val="22"/>
          <w:szCs w:val="22"/>
          <w:highlight w:val="none"/>
        </w:rPr>
        <w:t>在服务方案中应提供详细的服务内容、服务方式、服务周期、服务时间、服务流程、对用户的报告内容及报告方式。</w:t>
      </w:r>
    </w:p>
    <w:p w14:paraId="1CEE6E02">
      <w:pPr>
        <w:pStyle w:val="17"/>
        <w:adjustRightInd w:val="0"/>
        <w:snapToGrid w:val="0"/>
        <w:spacing w:line="400" w:lineRule="atLeast"/>
        <w:ind w:firstLine="442"/>
        <w:rPr>
          <w:rFonts w:hint="eastAsia" w:hAnsi="宋体" w:eastAsia="宋体"/>
          <w:b w:val="0"/>
          <w:color w:val="auto"/>
          <w:sz w:val="22"/>
          <w:szCs w:val="22"/>
          <w:highlight w:val="none"/>
        </w:rPr>
      </w:pPr>
      <w:r>
        <w:rPr>
          <w:rFonts w:hint="eastAsia" w:eastAsia="宋体"/>
          <w:b w:val="0"/>
          <w:color w:val="auto"/>
          <w:sz w:val="22"/>
          <w:szCs w:val="22"/>
          <w:highlight w:val="none"/>
        </w:rPr>
        <w:t>在质保期内，要求供应商提供7×24小时电话响应技术咨询，除非招标文件另有规定，供应商须在接到采购人维修要求电话后，须在4小时内响应，</w:t>
      </w:r>
      <w:r>
        <w:rPr>
          <w:rFonts w:hint="eastAsia" w:hAnsi="宋体" w:eastAsia="宋体" w:cs="宋体"/>
          <w:b w:val="0"/>
          <w:bCs/>
          <w:color w:val="auto"/>
          <w:sz w:val="22"/>
          <w:szCs w:val="22"/>
          <w:highlight w:val="none"/>
        </w:rPr>
        <w:t>2</w:t>
      </w:r>
      <w:r>
        <w:rPr>
          <w:rFonts w:hAnsi="宋体" w:eastAsia="宋体" w:cs="宋体"/>
          <w:b w:val="0"/>
          <w:bCs/>
          <w:color w:val="auto"/>
          <w:sz w:val="22"/>
          <w:szCs w:val="22"/>
          <w:highlight w:val="none"/>
        </w:rPr>
        <w:t>4</w:t>
      </w:r>
      <w:r>
        <w:rPr>
          <w:rFonts w:hint="eastAsia" w:hAnsi="宋体" w:eastAsia="宋体" w:cs="宋体"/>
          <w:b w:val="0"/>
          <w:bCs/>
          <w:color w:val="auto"/>
          <w:sz w:val="22"/>
          <w:szCs w:val="22"/>
          <w:highlight w:val="none"/>
        </w:rPr>
        <w:t>小时内解决或提供应急解决方案，最大限度减少损失。</w:t>
      </w:r>
    </w:p>
    <w:p w14:paraId="3C36CDB5">
      <w:pPr>
        <w:pStyle w:val="17"/>
        <w:adjustRightInd w:val="0"/>
        <w:snapToGrid w:val="0"/>
        <w:spacing w:line="400" w:lineRule="atLeast"/>
        <w:ind w:firstLine="442"/>
        <w:rPr>
          <w:rFonts w:hAnsi="宋体" w:eastAsia="宋体"/>
          <w:b w:val="0"/>
          <w:color w:val="auto"/>
          <w:sz w:val="22"/>
          <w:szCs w:val="22"/>
          <w:highlight w:val="none"/>
        </w:rPr>
      </w:pPr>
      <w:r>
        <w:rPr>
          <w:rFonts w:hint="eastAsia" w:hAnsi="宋体" w:eastAsia="宋体"/>
          <w:b w:val="0"/>
          <w:color w:val="auto"/>
          <w:sz w:val="22"/>
          <w:szCs w:val="22"/>
          <w:highlight w:val="none"/>
        </w:rPr>
        <w:t>2、设备的到货、安装、调试和验收</w:t>
      </w:r>
    </w:p>
    <w:p w14:paraId="012B97EE">
      <w:pPr>
        <w:pStyle w:val="17"/>
        <w:adjustRightInd w:val="0"/>
        <w:snapToGrid w:val="0"/>
        <w:spacing w:line="400" w:lineRule="atLeast"/>
        <w:ind w:firstLine="442"/>
        <w:rPr>
          <w:rFonts w:hAnsi="宋体" w:eastAsia="宋体"/>
          <w:b w:val="0"/>
          <w:color w:val="auto"/>
          <w:sz w:val="22"/>
          <w:szCs w:val="22"/>
          <w:highlight w:val="none"/>
        </w:rPr>
      </w:pPr>
      <w:r>
        <w:rPr>
          <w:rFonts w:hint="eastAsia" w:hAnsi="宋体" w:eastAsia="宋体"/>
          <w:b w:val="0"/>
          <w:color w:val="auto"/>
          <w:sz w:val="22"/>
          <w:szCs w:val="22"/>
          <w:highlight w:val="none"/>
        </w:rPr>
        <w:t>2</w:t>
      </w:r>
      <w:r>
        <w:rPr>
          <w:rFonts w:hAnsi="宋体" w:eastAsia="宋体"/>
          <w:b w:val="0"/>
          <w:color w:val="auto"/>
          <w:sz w:val="22"/>
          <w:szCs w:val="22"/>
          <w:highlight w:val="none"/>
        </w:rPr>
        <w:t xml:space="preserve">.1 </w:t>
      </w:r>
      <w:r>
        <w:rPr>
          <w:rFonts w:hint="eastAsia" w:hAnsi="宋体" w:eastAsia="宋体"/>
          <w:b w:val="0"/>
          <w:color w:val="auto"/>
          <w:sz w:val="22"/>
          <w:szCs w:val="22"/>
          <w:highlight w:val="none"/>
        </w:rPr>
        <w:t>安装调试时间投标供应商必须在合同规定的工作日内完成设备供货、安装、调试工作，并确保系统的正常运行。</w:t>
      </w:r>
    </w:p>
    <w:p w14:paraId="18872E1F">
      <w:pPr>
        <w:pStyle w:val="17"/>
        <w:adjustRightInd w:val="0"/>
        <w:snapToGrid w:val="0"/>
        <w:spacing w:line="400" w:lineRule="atLeast"/>
        <w:ind w:firstLine="442"/>
        <w:rPr>
          <w:rFonts w:hAnsi="宋体" w:eastAsia="宋体"/>
          <w:b w:val="0"/>
          <w:color w:val="auto"/>
          <w:sz w:val="22"/>
          <w:szCs w:val="22"/>
          <w:highlight w:val="none"/>
        </w:rPr>
      </w:pPr>
      <w:r>
        <w:rPr>
          <w:rFonts w:hint="eastAsia" w:hAnsi="宋体" w:eastAsia="宋体"/>
          <w:b w:val="0"/>
          <w:color w:val="auto"/>
          <w:sz w:val="22"/>
          <w:szCs w:val="22"/>
          <w:highlight w:val="none"/>
        </w:rPr>
        <w:t>2.2所供设备在现场进行到货验收时</w:t>
      </w:r>
      <w:r>
        <w:rPr>
          <w:rFonts w:hAnsi="宋体" w:eastAsia="宋体"/>
          <w:b w:val="0"/>
          <w:color w:val="auto"/>
          <w:sz w:val="22"/>
          <w:szCs w:val="22"/>
          <w:highlight w:val="none"/>
        </w:rPr>
        <w:t>,</w:t>
      </w:r>
      <w:r>
        <w:rPr>
          <w:rFonts w:hint="eastAsia" w:hAnsi="宋体" w:eastAsia="宋体"/>
          <w:b w:val="0"/>
          <w:color w:val="auto"/>
          <w:sz w:val="22"/>
          <w:szCs w:val="22"/>
          <w:highlight w:val="none"/>
        </w:rPr>
        <w:t>由中标供应商负责，采购人派员参加</w:t>
      </w:r>
      <w:r>
        <w:rPr>
          <w:rFonts w:hAnsi="宋体" w:eastAsia="宋体"/>
          <w:b w:val="0"/>
          <w:color w:val="auto"/>
          <w:sz w:val="22"/>
          <w:szCs w:val="22"/>
          <w:highlight w:val="none"/>
        </w:rPr>
        <w:t>,</w:t>
      </w:r>
      <w:r>
        <w:rPr>
          <w:rFonts w:hint="eastAsia" w:hAnsi="宋体" w:eastAsia="宋体"/>
          <w:b w:val="0"/>
          <w:color w:val="auto"/>
          <w:sz w:val="22"/>
          <w:szCs w:val="22"/>
          <w:highlight w:val="none"/>
        </w:rPr>
        <w:t>如发现问题应及时处理直至使采购人满意，所需费用由中标供应商负责、设备的存放点由采购人提供、中标供应商负责保管。</w:t>
      </w:r>
    </w:p>
    <w:p w14:paraId="1E510F6C">
      <w:pPr>
        <w:pStyle w:val="17"/>
        <w:adjustRightInd w:val="0"/>
        <w:snapToGrid w:val="0"/>
        <w:spacing w:line="400" w:lineRule="atLeast"/>
        <w:ind w:firstLine="442"/>
        <w:rPr>
          <w:rFonts w:hAnsi="宋体" w:eastAsia="宋体"/>
          <w:b w:val="0"/>
          <w:color w:val="auto"/>
          <w:sz w:val="22"/>
          <w:szCs w:val="22"/>
          <w:highlight w:val="none"/>
        </w:rPr>
      </w:pPr>
      <w:r>
        <w:rPr>
          <w:rFonts w:hint="eastAsia" w:hAnsi="宋体" w:eastAsia="宋体"/>
          <w:b w:val="0"/>
          <w:color w:val="auto"/>
          <w:sz w:val="22"/>
          <w:szCs w:val="22"/>
          <w:highlight w:val="none"/>
        </w:rPr>
        <w:t>2.3安装范围包括设备本身及整个系统的安装，安装必须符合有关标准和规范。</w:t>
      </w:r>
    </w:p>
    <w:p w14:paraId="7DC146F3">
      <w:pPr>
        <w:pStyle w:val="17"/>
        <w:adjustRightInd w:val="0"/>
        <w:snapToGrid w:val="0"/>
        <w:spacing w:line="400" w:lineRule="atLeast"/>
        <w:ind w:firstLine="442"/>
        <w:rPr>
          <w:rFonts w:hAnsi="宋体" w:eastAsia="宋体"/>
          <w:b w:val="0"/>
          <w:color w:val="auto"/>
          <w:sz w:val="22"/>
          <w:szCs w:val="22"/>
          <w:highlight w:val="none"/>
        </w:rPr>
      </w:pPr>
      <w:r>
        <w:rPr>
          <w:rFonts w:hint="eastAsia" w:hAnsi="宋体" w:eastAsia="宋体"/>
          <w:b w:val="0"/>
          <w:color w:val="auto"/>
          <w:sz w:val="22"/>
          <w:szCs w:val="22"/>
          <w:highlight w:val="none"/>
        </w:rPr>
        <w:t>2.4设备经过试运行后达到并符合合同要求，其中故障和隐患均已排除或解决，并使采购人满意，所有的技术资料和图纸均已向采购人移交并被接受，验收视为合格，由双方签署验收证书后，设备才视为接受。</w:t>
      </w:r>
      <w:r>
        <w:rPr>
          <w:rFonts w:hAnsi="宋体" w:eastAsia="宋体"/>
          <w:b w:val="0"/>
          <w:color w:val="auto"/>
          <w:sz w:val="22"/>
          <w:szCs w:val="22"/>
          <w:highlight w:val="none"/>
        </w:rPr>
        <w:t xml:space="preserve">  </w:t>
      </w:r>
    </w:p>
    <w:p w14:paraId="649F6624">
      <w:pPr>
        <w:pStyle w:val="17"/>
        <w:adjustRightInd w:val="0"/>
        <w:snapToGrid w:val="0"/>
        <w:spacing w:line="400" w:lineRule="atLeast"/>
        <w:ind w:firstLine="442"/>
        <w:rPr>
          <w:rFonts w:hAnsi="宋体" w:eastAsia="宋体"/>
          <w:b w:val="0"/>
          <w:color w:val="auto"/>
          <w:sz w:val="22"/>
          <w:szCs w:val="22"/>
          <w:highlight w:val="none"/>
        </w:rPr>
      </w:pPr>
      <w:r>
        <w:rPr>
          <w:rFonts w:hint="eastAsia" w:hAnsi="宋体" w:eastAsia="宋体"/>
          <w:b w:val="0"/>
          <w:color w:val="auto"/>
          <w:sz w:val="22"/>
          <w:szCs w:val="22"/>
          <w:highlight w:val="none"/>
        </w:rPr>
        <w:t>3、</w:t>
      </w:r>
      <w:r>
        <w:rPr>
          <w:rFonts w:hAnsi="宋体" w:eastAsia="宋体"/>
          <w:b w:val="0"/>
          <w:color w:val="auto"/>
          <w:sz w:val="22"/>
          <w:szCs w:val="22"/>
          <w:highlight w:val="none"/>
        </w:rPr>
        <w:t xml:space="preserve"> </w:t>
      </w:r>
      <w:r>
        <w:rPr>
          <w:rFonts w:hint="eastAsia" w:hAnsi="宋体" w:eastAsia="宋体"/>
          <w:b w:val="0"/>
          <w:color w:val="auto"/>
          <w:sz w:val="22"/>
          <w:szCs w:val="22"/>
          <w:highlight w:val="none"/>
        </w:rPr>
        <w:t>质量保证</w:t>
      </w:r>
    </w:p>
    <w:p w14:paraId="72A90071">
      <w:pPr>
        <w:pStyle w:val="17"/>
        <w:adjustRightInd w:val="0"/>
        <w:snapToGrid w:val="0"/>
        <w:spacing w:line="400" w:lineRule="atLeast"/>
        <w:ind w:firstLine="442"/>
        <w:rPr>
          <w:rFonts w:hAnsi="宋体" w:eastAsia="宋体"/>
          <w:b w:val="0"/>
          <w:color w:val="auto"/>
          <w:sz w:val="22"/>
          <w:szCs w:val="22"/>
          <w:highlight w:val="none"/>
        </w:rPr>
      </w:pPr>
      <w:r>
        <w:rPr>
          <w:rFonts w:hint="eastAsia" w:hAnsi="宋体" w:eastAsia="宋体"/>
          <w:b w:val="0"/>
          <w:color w:val="auto"/>
          <w:sz w:val="22"/>
          <w:szCs w:val="22"/>
          <w:highlight w:val="none"/>
        </w:rPr>
        <w:t>3</w:t>
      </w:r>
      <w:r>
        <w:rPr>
          <w:rFonts w:hAnsi="宋体" w:eastAsia="宋体"/>
          <w:b w:val="0"/>
          <w:color w:val="auto"/>
          <w:sz w:val="22"/>
          <w:szCs w:val="22"/>
          <w:highlight w:val="none"/>
        </w:rPr>
        <w:t xml:space="preserve">.1 </w:t>
      </w:r>
      <w:r>
        <w:rPr>
          <w:rFonts w:hint="eastAsia" w:hAnsi="宋体" w:eastAsia="宋体"/>
          <w:b w:val="0"/>
          <w:color w:val="auto"/>
          <w:sz w:val="22"/>
          <w:szCs w:val="22"/>
          <w:highlight w:val="none"/>
        </w:rPr>
        <w:t>需要制定服务计划的，中标供应商要制订计划并将服务计划送采购人确认；具体服务内容按照经确认的计划进行；</w:t>
      </w:r>
    </w:p>
    <w:p w14:paraId="66B95F7D">
      <w:pPr>
        <w:pStyle w:val="17"/>
        <w:adjustRightInd w:val="0"/>
        <w:snapToGrid w:val="0"/>
        <w:spacing w:line="400" w:lineRule="atLeast"/>
        <w:ind w:firstLine="442"/>
        <w:rPr>
          <w:rFonts w:hAnsi="宋体" w:eastAsia="宋体"/>
          <w:b w:val="0"/>
          <w:color w:val="auto"/>
          <w:sz w:val="22"/>
          <w:szCs w:val="22"/>
          <w:highlight w:val="none"/>
        </w:rPr>
      </w:pPr>
      <w:r>
        <w:rPr>
          <w:rFonts w:hint="eastAsia" w:hAnsi="宋体" w:eastAsia="宋体"/>
          <w:b w:val="0"/>
          <w:color w:val="auto"/>
          <w:sz w:val="22"/>
          <w:szCs w:val="22"/>
          <w:highlight w:val="none"/>
        </w:rPr>
        <w:t>3</w:t>
      </w:r>
      <w:r>
        <w:rPr>
          <w:rFonts w:hAnsi="宋体" w:eastAsia="宋体"/>
          <w:b w:val="0"/>
          <w:color w:val="auto"/>
          <w:sz w:val="22"/>
          <w:szCs w:val="22"/>
          <w:highlight w:val="none"/>
        </w:rPr>
        <w:t xml:space="preserve">.2 </w:t>
      </w:r>
      <w:r>
        <w:rPr>
          <w:rFonts w:hint="eastAsia" w:hAnsi="宋体" w:eastAsia="宋体"/>
          <w:b w:val="0"/>
          <w:color w:val="auto"/>
          <w:sz w:val="22"/>
          <w:szCs w:val="22"/>
          <w:highlight w:val="none"/>
        </w:rPr>
        <w:t>技术服务工程师到达用户现场后，向采购人提交本次技术服务内容清单，交用户确认；</w:t>
      </w:r>
    </w:p>
    <w:p w14:paraId="78DAD57D">
      <w:pPr>
        <w:pStyle w:val="17"/>
        <w:adjustRightInd w:val="0"/>
        <w:snapToGrid w:val="0"/>
        <w:spacing w:line="400" w:lineRule="atLeast"/>
        <w:ind w:firstLine="442"/>
        <w:rPr>
          <w:rFonts w:hAnsi="宋体" w:eastAsia="宋体"/>
          <w:b w:val="0"/>
          <w:color w:val="auto"/>
          <w:sz w:val="22"/>
          <w:szCs w:val="22"/>
          <w:highlight w:val="none"/>
        </w:rPr>
      </w:pPr>
      <w:r>
        <w:rPr>
          <w:rFonts w:hint="eastAsia" w:hAnsi="宋体" w:eastAsia="宋体"/>
          <w:b w:val="0"/>
          <w:color w:val="auto"/>
          <w:sz w:val="22"/>
          <w:szCs w:val="22"/>
          <w:highlight w:val="none"/>
        </w:rPr>
        <w:t>3</w:t>
      </w:r>
      <w:r>
        <w:rPr>
          <w:rFonts w:hAnsi="宋体" w:eastAsia="宋体"/>
          <w:b w:val="0"/>
          <w:color w:val="auto"/>
          <w:sz w:val="22"/>
          <w:szCs w:val="22"/>
          <w:highlight w:val="none"/>
        </w:rPr>
        <w:t xml:space="preserve">.3 </w:t>
      </w:r>
      <w:r>
        <w:rPr>
          <w:rFonts w:hint="eastAsia" w:hAnsi="宋体" w:eastAsia="宋体"/>
          <w:b w:val="0"/>
          <w:color w:val="auto"/>
          <w:sz w:val="22"/>
          <w:szCs w:val="22"/>
          <w:highlight w:val="none"/>
        </w:rPr>
        <w:t>服务过程中形成的服务记录须提交采购人签字确认；</w:t>
      </w:r>
    </w:p>
    <w:p w14:paraId="38F90776">
      <w:pPr>
        <w:pStyle w:val="17"/>
        <w:adjustRightInd w:val="0"/>
        <w:snapToGrid w:val="0"/>
        <w:spacing w:line="400" w:lineRule="atLeast"/>
        <w:ind w:firstLine="442"/>
        <w:rPr>
          <w:rFonts w:hAnsi="宋体" w:eastAsia="宋体"/>
          <w:b w:val="0"/>
          <w:color w:val="auto"/>
          <w:sz w:val="22"/>
          <w:szCs w:val="22"/>
          <w:highlight w:val="none"/>
        </w:rPr>
      </w:pPr>
      <w:r>
        <w:rPr>
          <w:rFonts w:hint="eastAsia" w:hAnsi="宋体" w:eastAsia="宋体"/>
          <w:b w:val="0"/>
          <w:color w:val="auto"/>
          <w:sz w:val="22"/>
          <w:szCs w:val="22"/>
          <w:highlight w:val="none"/>
        </w:rPr>
        <w:t>3</w:t>
      </w:r>
      <w:r>
        <w:rPr>
          <w:rFonts w:hAnsi="宋体" w:eastAsia="宋体"/>
          <w:b w:val="0"/>
          <w:color w:val="auto"/>
          <w:sz w:val="22"/>
          <w:szCs w:val="22"/>
          <w:highlight w:val="none"/>
        </w:rPr>
        <w:t xml:space="preserve">.4 </w:t>
      </w:r>
      <w:r>
        <w:rPr>
          <w:rFonts w:hint="eastAsia" w:hAnsi="宋体" w:eastAsia="宋体"/>
          <w:b w:val="0"/>
          <w:color w:val="auto"/>
          <w:sz w:val="22"/>
          <w:szCs w:val="22"/>
          <w:highlight w:val="none"/>
        </w:rPr>
        <w:t>服务完毕，技术服务工程师离开用户之前，必须将本次服务内容完成情况的书面材料交采购人签字确认，在采购人未签字之前不得擅离服务现场；</w:t>
      </w:r>
    </w:p>
    <w:p w14:paraId="597F4DFE">
      <w:pPr>
        <w:pStyle w:val="17"/>
        <w:adjustRightInd w:val="0"/>
        <w:snapToGrid w:val="0"/>
        <w:spacing w:line="400" w:lineRule="atLeast"/>
        <w:ind w:firstLine="442"/>
        <w:rPr>
          <w:rFonts w:hAnsi="宋体" w:eastAsia="宋体"/>
          <w:b w:val="0"/>
          <w:color w:val="auto"/>
          <w:sz w:val="22"/>
          <w:szCs w:val="22"/>
          <w:highlight w:val="none"/>
        </w:rPr>
      </w:pPr>
      <w:r>
        <w:rPr>
          <w:rFonts w:hint="eastAsia" w:hAnsi="宋体" w:eastAsia="宋体"/>
          <w:b w:val="0"/>
          <w:color w:val="auto"/>
          <w:sz w:val="22"/>
          <w:szCs w:val="22"/>
          <w:highlight w:val="none"/>
        </w:rPr>
        <w:t>3</w:t>
      </w:r>
      <w:r>
        <w:rPr>
          <w:rFonts w:hAnsi="宋体" w:eastAsia="宋体"/>
          <w:b w:val="0"/>
          <w:color w:val="auto"/>
          <w:sz w:val="22"/>
          <w:szCs w:val="22"/>
          <w:highlight w:val="none"/>
        </w:rPr>
        <w:t xml:space="preserve">.5 </w:t>
      </w:r>
      <w:r>
        <w:rPr>
          <w:rFonts w:hint="eastAsia" w:hAnsi="宋体" w:eastAsia="宋体"/>
          <w:b w:val="0"/>
          <w:color w:val="auto"/>
          <w:sz w:val="22"/>
          <w:szCs w:val="22"/>
          <w:highlight w:val="none"/>
        </w:rPr>
        <w:t>中标供应商质检部门应不定期对技术服务工程师的服务水平、服务态度和服务效果及采购人满意度进行调查，以便及时发现服务过程中存在的问题并及时解决；</w:t>
      </w:r>
    </w:p>
    <w:p w14:paraId="2D52448C">
      <w:pPr>
        <w:pStyle w:val="17"/>
        <w:adjustRightInd w:val="0"/>
        <w:snapToGrid w:val="0"/>
        <w:spacing w:line="400" w:lineRule="atLeast"/>
        <w:ind w:firstLine="442"/>
        <w:rPr>
          <w:rFonts w:hint="eastAsia" w:hAnsi="宋体" w:eastAsia="宋体"/>
          <w:b w:val="0"/>
          <w:color w:val="auto"/>
          <w:sz w:val="22"/>
          <w:szCs w:val="22"/>
          <w:highlight w:val="none"/>
        </w:rPr>
      </w:pPr>
      <w:r>
        <w:rPr>
          <w:rFonts w:hint="eastAsia" w:hAnsi="宋体" w:eastAsia="宋体"/>
          <w:b w:val="0"/>
          <w:color w:val="auto"/>
          <w:sz w:val="22"/>
          <w:szCs w:val="22"/>
          <w:highlight w:val="none"/>
        </w:rPr>
        <w:t>3</w:t>
      </w:r>
      <w:r>
        <w:rPr>
          <w:rFonts w:hAnsi="宋体" w:eastAsia="宋体"/>
          <w:b w:val="0"/>
          <w:color w:val="auto"/>
          <w:sz w:val="22"/>
          <w:szCs w:val="22"/>
          <w:highlight w:val="none"/>
        </w:rPr>
        <w:t xml:space="preserve">.6 </w:t>
      </w:r>
      <w:r>
        <w:rPr>
          <w:rFonts w:hint="eastAsia" w:hAnsi="宋体" w:eastAsia="宋体"/>
          <w:b w:val="0"/>
          <w:color w:val="auto"/>
          <w:sz w:val="22"/>
          <w:szCs w:val="22"/>
          <w:highlight w:val="none"/>
        </w:rPr>
        <w:t>中标供应商要设立专门电话，采购人随时可就技术服务工程师的服务情况向中标供应商进行投诉。</w:t>
      </w:r>
    </w:p>
    <w:p w14:paraId="20C0F119">
      <w:pPr>
        <w:pStyle w:val="17"/>
        <w:adjustRightInd w:val="0"/>
        <w:snapToGrid w:val="0"/>
        <w:spacing w:line="400" w:lineRule="atLeast"/>
        <w:ind w:firstLine="442"/>
        <w:rPr>
          <w:rFonts w:hint="eastAsia" w:hAnsi="宋体" w:eastAsia="宋体"/>
          <w:b w:val="0"/>
          <w:color w:val="auto"/>
          <w:sz w:val="22"/>
          <w:szCs w:val="22"/>
          <w:highlight w:val="none"/>
        </w:rPr>
      </w:pPr>
      <w:r>
        <w:rPr>
          <w:rFonts w:hint="eastAsia" w:hAnsi="宋体" w:eastAsia="宋体"/>
          <w:b w:val="0"/>
          <w:color w:val="auto"/>
          <w:sz w:val="22"/>
          <w:szCs w:val="22"/>
          <w:highlight w:val="none"/>
        </w:rPr>
        <w:t>4、完工期</w:t>
      </w:r>
    </w:p>
    <w:p w14:paraId="5505C36C">
      <w:pPr>
        <w:pStyle w:val="17"/>
        <w:adjustRightInd w:val="0"/>
        <w:snapToGrid w:val="0"/>
        <w:spacing w:line="400" w:lineRule="atLeast"/>
        <w:ind w:firstLine="442"/>
        <w:rPr>
          <w:rFonts w:hAnsi="宋体" w:eastAsia="宋体"/>
          <w:color w:val="auto"/>
          <w:sz w:val="22"/>
          <w:szCs w:val="22"/>
          <w:highlight w:val="none"/>
        </w:rPr>
      </w:pPr>
      <w:r>
        <w:rPr>
          <w:rFonts w:hint="eastAsia" w:hAnsi="宋体" w:eastAsia="宋体" w:cs="宋体"/>
          <w:bCs/>
          <w:color w:val="auto"/>
          <w:sz w:val="22"/>
          <w:szCs w:val="22"/>
          <w:highlight w:val="none"/>
        </w:rPr>
        <w:t>合同签订后30个日历天内完成供货、安装，调试</w:t>
      </w:r>
      <w:r>
        <w:rPr>
          <w:rFonts w:hint="eastAsia" w:hAnsi="宋体" w:eastAsia="宋体" w:cs="宋体"/>
          <w:bCs/>
          <w:color w:val="auto"/>
          <w:sz w:val="22"/>
          <w:szCs w:val="22"/>
          <w:highlight w:val="none"/>
          <w:lang w:eastAsia="zh-CN"/>
        </w:rPr>
        <w:t>，并试运行30日历天</w:t>
      </w:r>
      <w:r>
        <w:rPr>
          <w:rFonts w:hint="eastAsia" w:hAnsi="宋体" w:eastAsia="宋体" w:cs="宋体"/>
          <w:bCs/>
          <w:color w:val="auto"/>
          <w:sz w:val="22"/>
          <w:szCs w:val="22"/>
          <w:highlight w:val="none"/>
        </w:rPr>
        <w:t>。</w:t>
      </w:r>
    </w:p>
    <w:p w14:paraId="4F0F0154">
      <w:pPr>
        <w:pStyle w:val="17"/>
        <w:adjustRightInd w:val="0"/>
        <w:snapToGrid w:val="0"/>
        <w:spacing w:line="400" w:lineRule="atLeast"/>
        <w:ind w:firstLine="442"/>
        <w:rPr>
          <w:rFonts w:hint="eastAsia" w:hAnsi="宋体" w:eastAsia="宋体"/>
          <w:b w:val="0"/>
          <w:color w:val="auto"/>
          <w:sz w:val="22"/>
          <w:szCs w:val="22"/>
          <w:highlight w:val="none"/>
        </w:rPr>
      </w:pPr>
      <w:r>
        <w:rPr>
          <w:rFonts w:hint="eastAsia" w:hAnsi="宋体" w:eastAsia="宋体"/>
          <w:b w:val="0"/>
          <w:color w:val="auto"/>
          <w:sz w:val="22"/>
          <w:szCs w:val="22"/>
          <w:highlight w:val="none"/>
        </w:rPr>
        <w:t>5、培训</w:t>
      </w:r>
    </w:p>
    <w:p w14:paraId="238061EC">
      <w:pPr>
        <w:pStyle w:val="17"/>
        <w:adjustRightInd w:val="0"/>
        <w:snapToGrid w:val="0"/>
        <w:spacing w:line="400" w:lineRule="atLeast"/>
        <w:ind w:firstLine="422"/>
        <w:rPr>
          <w:rFonts w:hint="eastAsia" w:hAnsi="宋体" w:eastAsia="宋体"/>
          <w:b w:val="0"/>
          <w:color w:val="auto"/>
          <w:sz w:val="22"/>
          <w:szCs w:val="22"/>
          <w:highlight w:val="none"/>
        </w:rPr>
      </w:pPr>
      <w:r>
        <w:rPr>
          <w:rFonts w:hint="eastAsia" w:hAnsi="宋体" w:eastAsia="宋体"/>
          <w:b w:val="0"/>
          <w:color w:val="auto"/>
          <w:sz w:val="22"/>
          <w:szCs w:val="22"/>
          <w:highlight w:val="none"/>
        </w:rPr>
        <w:t>被培训人数及时间，均列于这些品目的技术服务的相关条款中。当培训在最终用户处时，培训费应包括了培训人员（中标供应商授课人员）的旅费、住宿费及被培训人员的讲义费等。</w:t>
      </w:r>
    </w:p>
    <w:p w14:paraId="071A34EC">
      <w:pPr>
        <w:pStyle w:val="17"/>
        <w:adjustRightInd w:val="0"/>
        <w:snapToGrid w:val="0"/>
        <w:spacing w:line="400" w:lineRule="atLeast"/>
        <w:ind w:firstLine="442"/>
        <w:rPr>
          <w:rFonts w:hint="eastAsia" w:hAnsi="宋体" w:eastAsia="宋体"/>
          <w:b/>
          <w:bCs/>
          <w:color w:val="auto"/>
          <w:sz w:val="22"/>
          <w:szCs w:val="22"/>
          <w:highlight w:val="none"/>
        </w:rPr>
      </w:pPr>
      <w:r>
        <w:rPr>
          <w:rFonts w:hint="eastAsia" w:hAnsi="宋体" w:eastAsia="宋体"/>
          <w:b/>
          <w:bCs/>
          <w:color w:val="auto"/>
          <w:sz w:val="22"/>
          <w:szCs w:val="22"/>
          <w:highlight w:val="none"/>
        </w:rPr>
        <w:t>6、付款方式</w:t>
      </w:r>
    </w:p>
    <w:p w14:paraId="09480D72">
      <w:pPr>
        <w:pStyle w:val="17"/>
        <w:adjustRightInd w:val="0"/>
        <w:snapToGrid w:val="0"/>
        <w:spacing w:line="400" w:lineRule="atLeast"/>
        <w:ind w:firstLine="442"/>
        <w:rPr>
          <w:rFonts w:hint="eastAsia" w:hAnsi="宋体" w:eastAsia="宋体" w:cs="宋体"/>
          <w:bCs/>
          <w:color w:val="auto"/>
          <w:sz w:val="22"/>
          <w:szCs w:val="22"/>
          <w:highlight w:val="none"/>
        </w:rPr>
      </w:pPr>
      <w:r>
        <w:rPr>
          <w:rFonts w:hint="eastAsia" w:eastAsia="宋体"/>
          <w:b/>
          <w:bCs/>
          <w:color w:val="auto"/>
          <w:sz w:val="22"/>
          <w:szCs w:val="22"/>
          <w:highlight w:val="none"/>
        </w:rPr>
        <w:t>合同签订后中标供应商应向采购人提供合同总金额</w:t>
      </w:r>
      <w:r>
        <w:rPr>
          <w:rFonts w:hint="eastAsia" w:eastAsia="宋体"/>
          <w:b/>
          <w:bCs/>
          <w:color w:val="auto"/>
          <w:sz w:val="22"/>
          <w:highlight w:val="none"/>
          <w:lang w:val="en-US" w:eastAsia="zh-CN"/>
        </w:rPr>
        <w:t>5</w:t>
      </w:r>
      <w:r>
        <w:rPr>
          <w:rFonts w:hint="eastAsia" w:eastAsia="宋体"/>
          <w:b/>
          <w:bCs/>
          <w:color w:val="auto"/>
          <w:sz w:val="22"/>
          <w:highlight w:val="none"/>
        </w:rPr>
        <w:t>%的</w:t>
      </w:r>
      <w:r>
        <w:rPr>
          <w:rFonts w:hint="eastAsia" w:eastAsia="宋体"/>
          <w:b/>
          <w:bCs/>
          <w:color w:val="auto"/>
          <w:sz w:val="22"/>
          <w:szCs w:val="22"/>
          <w:highlight w:val="none"/>
        </w:rPr>
        <w:t>履约保证金</w:t>
      </w:r>
      <w:r>
        <w:rPr>
          <w:rFonts w:hint="eastAsia" w:eastAsia="宋体"/>
          <w:b/>
          <w:bCs/>
          <w:color w:val="auto"/>
          <w:sz w:val="22"/>
          <w:szCs w:val="22"/>
          <w:highlight w:val="none"/>
          <w:lang w:eastAsia="zh-CN"/>
        </w:rPr>
        <w:t>；</w:t>
      </w:r>
      <w:r>
        <w:rPr>
          <w:rFonts w:hint="eastAsia" w:eastAsia="宋体"/>
          <w:b/>
          <w:bCs/>
          <w:color w:val="auto"/>
          <w:sz w:val="22"/>
          <w:highlight w:val="none"/>
        </w:rPr>
        <w:t>满足合同约定支付条件，甲方收到乙方提供的同等金额的增值税专用发票后15日内，在履行相关资金审批手续后支付合同总价30%的预付款；项目全部开发建设完成，经完工验收合格、试运行通过后，甲方收到乙方提供的同等金额的增值税专用发票后15日内，在履行相关资金审批手续后向乙方支付至合同总价的98%，剩余的2%作为质量保证金，甲方开收据给乙方，在质保期满无问题后甲方凭收据无息返还乙方的质保金。</w:t>
      </w:r>
    </w:p>
    <w:p w14:paraId="683114F7">
      <w:pPr>
        <w:pStyle w:val="17"/>
        <w:adjustRightInd w:val="0"/>
        <w:snapToGrid w:val="0"/>
        <w:spacing w:line="400" w:lineRule="atLeast"/>
        <w:rPr>
          <w:rFonts w:hint="eastAsia" w:hAnsi="宋体" w:eastAsia="宋体"/>
          <w:color w:val="auto"/>
          <w:sz w:val="22"/>
          <w:highlight w:val="none"/>
        </w:rPr>
      </w:pPr>
      <w:r>
        <w:rPr>
          <w:rFonts w:hint="eastAsia" w:hAnsi="宋体" w:eastAsia="宋体"/>
          <w:color w:val="auto"/>
          <w:sz w:val="22"/>
          <w:highlight w:val="none"/>
        </w:rPr>
        <w:t>四、工作范围：</w:t>
      </w:r>
    </w:p>
    <w:p w14:paraId="0F6E9C3A">
      <w:pPr>
        <w:pStyle w:val="17"/>
        <w:adjustRightInd w:val="0"/>
        <w:snapToGrid w:val="0"/>
        <w:spacing w:line="400" w:lineRule="atLeast"/>
        <w:ind w:firstLine="440" w:firstLineChars="200"/>
        <w:rPr>
          <w:rFonts w:hint="eastAsia" w:hAnsi="宋体" w:eastAsia="宋体"/>
          <w:b w:val="0"/>
          <w:color w:val="auto"/>
          <w:sz w:val="22"/>
          <w:highlight w:val="none"/>
        </w:rPr>
      </w:pPr>
      <w:r>
        <w:rPr>
          <w:rFonts w:hint="eastAsia" w:hAnsi="宋体" w:eastAsia="宋体"/>
          <w:b w:val="0"/>
          <w:color w:val="auto"/>
          <w:sz w:val="22"/>
          <w:highlight w:val="none"/>
        </w:rPr>
        <w:t>根据招标文件，各供应商须按国家有关标准及规范完成下列工作：</w:t>
      </w:r>
    </w:p>
    <w:p w14:paraId="68D94B34">
      <w:pPr>
        <w:pStyle w:val="17"/>
        <w:adjustRightInd w:val="0"/>
        <w:snapToGrid w:val="0"/>
        <w:spacing w:line="400" w:lineRule="atLeast"/>
        <w:ind w:firstLine="440" w:firstLineChars="200"/>
        <w:rPr>
          <w:rFonts w:hint="eastAsia" w:hAnsi="宋体" w:eastAsia="宋体"/>
          <w:b w:val="0"/>
          <w:color w:val="auto"/>
          <w:sz w:val="22"/>
          <w:highlight w:val="none"/>
        </w:rPr>
      </w:pPr>
      <w:r>
        <w:rPr>
          <w:rFonts w:hint="eastAsia" w:hAnsi="宋体" w:eastAsia="宋体"/>
          <w:b w:val="0"/>
          <w:color w:val="auto"/>
          <w:sz w:val="22"/>
          <w:highlight w:val="none"/>
        </w:rPr>
        <w:t>1.提供完整成套的产品；</w:t>
      </w:r>
    </w:p>
    <w:p w14:paraId="06D232FA">
      <w:pPr>
        <w:pStyle w:val="17"/>
        <w:adjustRightInd w:val="0"/>
        <w:snapToGrid w:val="0"/>
        <w:spacing w:line="400" w:lineRule="atLeast"/>
        <w:ind w:firstLine="440" w:firstLineChars="200"/>
        <w:rPr>
          <w:rFonts w:hint="eastAsia" w:hAnsi="宋体" w:eastAsia="宋体"/>
          <w:b w:val="0"/>
          <w:color w:val="auto"/>
          <w:sz w:val="22"/>
          <w:highlight w:val="none"/>
        </w:rPr>
      </w:pPr>
      <w:r>
        <w:rPr>
          <w:rFonts w:hint="eastAsia" w:hAnsi="宋体" w:eastAsia="宋体"/>
          <w:b w:val="0"/>
          <w:color w:val="auto"/>
          <w:sz w:val="22"/>
          <w:highlight w:val="none"/>
        </w:rPr>
        <w:t>2.产品及相关附件的提供、运输、装卸、就位、安装、调试、检验、通过验收；</w:t>
      </w:r>
    </w:p>
    <w:p w14:paraId="5018EC5D">
      <w:pPr>
        <w:pStyle w:val="17"/>
        <w:adjustRightInd w:val="0"/>
        <w:snapToGrid w:val="0"/>
        <w:spacing w:line="400" w:lineRule="atLeast"/>
        <w:ind w:firstLine="440" w:firstLineChars="200"/>
        <w:rPr>
          <w:rFonts w:hint="eastAsia" w:hAnsi="宋体" w:eastAsia="宋体"/>
          <w:b w:val="0"/>
          <w:color w:val="auto"/>
          <w:sz w:val="22"/>
          <w:highlight w:val="none"/>
        </w:rPr>
      </w:pPr>
      <w:r>
        <w:rPr>
          <w:rFonts w:hint="eastAsia" w:hAnsi="宋体" w:eastAsia="宋体"/>
          <w:b w:val="0"/>
          <w:color w:val="auto"/>
          <w:sz w:val="22"/>
          <w:highlight w:val="none"/>
        </w:rPr>
        <w:t>3.完成各项安装、调试、检验、测试、运维工作，并在采购人的配合下通过的验收；提供各种数据资料；直至通过验收。</w:t>
      </w:r>
    </w:p>
    <w:p w14:paraId="65CF4EB5">
      <w:pPr>
        <w:pStyle w:val="17"/>
        <w:adjustRightInd w:val="0"/>
        <w:snapToGrid w:val="0"/>
        <w:spacing w:line="400" w:lineRule="atLeast"/>
        <w:ind w:firstLine="440" w:firstLineChars="200"/>
        <w:rPr>
          <w:rFonts w:hint="eastAsia" w:hAnsi="宋体" w:eastAsia="宋体"/>
          <w:b w:val="0"/>
          <w:color w:val="auto"/>
          <w:sz w:val="22"/>
          <w:highlight w:val="none"/>
        </w:rPr>
      </w:pPr>
      <w:r>
        <w:rPr>
          <w:rFonts w:hint="eastAsia" w:hAnsi="宋体" w:eastAsia="宋体"/>
          <w:b w:val="0"/>
          <w:color w:val="auto"/>
          <w:sz w:val="22"/>
          <w:highlight w:val="none"/>
        </w:rPr>
        <w:t>4.对最终使用单位的操作人员及维修人员进行技术培训；</w:t>
      </w:r>
    </w:p>
    <w:p w14:paraId="78C742D0">
      <w:pPr>
        <w:pStyle w:val="17"/>
        <w:adjustRightInd w:val="0"/>
        <w:snapToGrid w:val="0"/>
        <w:spacing w:line="400" w:lineRule="atLeast"/>
        <w:ind w:firstLine="440" w:firstLineChars="200"/>
        <w:rPr>
          <w:rFonts w:hint="eastAsia" w:hAnsi="宋体" w:eastAsia="宋体"/>
          <w:b w:val="0"/>
          <w:color w:val="auto"/>
          <w:sz w:val="22"/>
          <w:highlight w:val="none"/>
        </w:rPr>
      </w:pPr>
      <w:r>
        <w:rPr>
          <w:rFonts w:hint="eastAsia" w:hAnsi="宋体" w:eastAsia="宋体"/>
          <w:b w:val="0"/>
          <w:color w:val="auto"/>
          <w:sz w:val="22"/>
          <w:highlight w:val="none"/>
        </w:rPr>
        <w:t>5.质保期内的维保及维修；</w:t>
      </w:r>
    </w:p>
    <w:p w14:paraId="2B2F4A7C">
      <w:pPr>
        <w:pStyle w:val="17"/>
        <w:adjustRightInd w:val="0"/>
        <w:snapToGrid w:val="0"/>
        <w:spacing w:line="400" w:lineRule="atLeast"/>
        <w:ind w:firstLine="440" w:firstLineChars="200"/>
        <w:rPr>
          <w:rFonts w:hint="eastAsia" w:hAnsi="宋体" w:eastAsia="宋体"/>
          <w:b w:val="0"/>
          <w:color w:val="auto"/>
          <w:sz w:val="22"/>
          <w:highlight w:val="none"/>
        </w:rPr>
      </w:pPr>
      <w:r>
        <w:rPr>
          <w:rFonts w:hint="eastAsia" w:hAnsi="宋体" w:eastAsia="宋体"/>
          <w:b w:val="0"/>
          <w:color w:val="auto"/>
          <w:sz w:val="22"/>
          <w:highlight w:val="none"/>
        </w:rPr>
        <w:t>6.售后服务的措施及承诺。</w:t>
      </w:r>
    </w:p>
    <w:p w14:paraId="6099094D">
      <w:pPr>
        <w:pStyle w:val="17"/>
        <w:adjustRightInd w:val="0"/>
        <w:snapToGrid w:val="0"/>
        <w:spacing w:line="400" w:lineRule="atLeast"/>
        <w:ind w:firstLine="440" w:firstLineChars="200"/>
        <w:rPr>
          <w:rFonts w:hint="eastAsia" w:hAnsi="宋体" w:eastAsia="宋体"/>
          <w:b w:val="0"/>
          <w:color w:val="auto"/>
          <w:sz w:val="22"/>
          <w:highlight w:val="none"/>
        </w:rPr>
      </w:pPr>
      <w:r>
        <w:rPr>
          <w:rFonts w:hint="eastAsia" w:hAnsi="宋体" w:eastAsia="宋体"/>
          <w:b w:val="0"/>
          <w:color w:val="auto"/>
          <w:sz w:val="22"/>
          <w:highlight w:val="none"/>
        </w:rPr>
        <w:t>以上工作内容的费用均包含在投标总价中。</w:t>
      </w:r>
    </w:p>
    <w:p w14:paraId="276E5F69">
      <w:pPr>
        <w:pStyle w:val="3"/>
        <w:jc w:val="both"/>
        <w:rPr>
          <w:rFonts w:hint="eastAsia" w:ascii="宋体" w:hAnsi="宋体" w:eastAsia="宋体" w:cs="宋体"/>
          <w:color w:val="auto"/>
          <w:sz w:val="20"/>
          <w:szCs w:val="20"/>
          <w:highlight w:val="none"/>
          <w:lang w:val="en-US" w:eastAsia="zh-CN"/>
        </w:rPr>
      </w:pPr>
    </w:p>
    <w:p w14:paraId="3CA93E06">
      <w:pPr>
        <w:rPr>
          <w:rFonts w:hint="eastAsia" w:ascii="宋体" w:hAnsi="宋体" w:eastAsia="宋体" w:cs="宋体"/>
          <w:b/>
          <w:bCs/>
          <w:color w:val="auto"/>
          <w:sz w:val="36"/>
          <w:szCs w:val="36"/>
          <w:highlight w:val="none"/>
        </w:rPr>
      </w:pPr>
    </w:p>
    <w:p w14:paraId="1313A8E0">
      <w:pPr>
        <w:rPr>
          <w:rFonts w:hint="eastAsia" w:ascii="宋体" w:hAnsi="宋体" w:eastAsia="宋体" w:cs="宋体"/>
          <w:b/>
          <w:bCs/>
          <w:color w:val="auto"/>
          <w:sz w:val="36"/>
          <w:szCs w:val="36"/>
          <w:highlight w:val="none"/>
        </w:rPr>
      </w:pPr>
    </w:p>
    <w:p w14:paraId="367A45BB">
      <w:pP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68D064F5">
      <w:pPr>
        <w:keepNext w:val="0"/>
        <w:keepLines w:val="0"/>
        <w:pageBreakBefore w:val="0"/>
        <w:shd w:val="clear" w:color="auto" w:fill="auto"/>
        <w:kinsoku/>
        <w:wordWrap/>
        <w:overflowPunct/>
        <w:topLinePunct w:val="0"/>
        <w:autoSpaceDE/>
        <w:autoSpaceDN/>
        <w:bidi w:val="0"/>
        <w:snapToGrid/>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第五部分   评标原则及方法</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43FC559E">
      <w:pPr>
        <w:pStyle w:val="12"/>
        <w:shd w:val="clear" w:color="auto" w:fill="auto"/>
        <w:rPr>
          <w:rFonts w:hint="eastAsia" w:ascii="宋体" w:hAnsi="宋体" w:eastAsia="宋体" w:cs="宋体"/>
          <w:color w:val="auto"/>
          <w:highlight w:val="none"/>
        </w:rPr>
      </w:pPr>
    </w:p>
    <w:p w14:paraId="1A4CA7EB">
      <w:pPr>
        <w:keepNext w:val="0"/>
        <w:keepLines w:val="0"/>
        <w:pageBreakBefore w:val="0"/>
        <w:shd w:val="clear" w:color="auto" w:fill="auto"/>
        <w:tabs>
          <w:tab w:val="left" w:pos="2880"/>
        </w:tabs>
        <w:kinsoku/>
        <w:wordWrap/>
        <w:topLinePunct w:val="0"/>
        <w:bidi w:val="0"/>
        <w:spacing w:line="360" w:lineRule="auto"/>
        <w:ind w:left="439" w:leftChars="20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根据《</w:t>
      </w:r>
      <w:r>
        <w:rPr>
          <w:rFonts w:hint="eastAsia" w:asciiTheme="minorEastAsia" w:hAnsiTheme="minorEastAsia" w:eastAsiaTheme="minorEastAsia" w:cstheme="minorEastAsia"/>
          <w:b/>
          <w:color w:val="auto"/>
          <w:sz w:val="21"/>
          <w:szCs w:val="21"/>
          <w:highlight w:val="none"/>
          <w:lang w:eastAsia="zh-CN"/>
        </w:rPr>
        <w:t>温州市市属国有企业采购管理办法</w:t>
      </w:r>
      <w:r>
        <w:rPr>
          <w:rFonts w:hint="eastAsia" w:asciiTheme="minorEastAsia" w:hAnsiTheme="minorEastAsia" w:eastAsiaTheme="minorEastAsia" w:cstheme="minorEastAsia"/>
          <w:b/>
          <w:color w:val="auto"/>
          <w:sz w:val="21"/>
          <w:szCs w:val="21"/>
          <w:highlight w:val="none"/>
        </w:rPr>
        <w:t>》等相关法规特制定以下评标办法。</w:t>
      </w:r>
    </w:p>
    <w:p w14:paraId="023D3DD1">
      <w:pPr>
        <w:keepNext w:val="0"/>
        <w:keepLines w:val="0"/>
        <w:pageBreakBefore w:val="0"/>
        <w:shd w:val="clear" w:color="auto" w:fill="auto"/>
        <w:kinsoku/>
        <w:wordWrap/>
        <w:topLinePunct w:val="0"/>
        <w:bidi w:val="0"/>
        <w:adjustRightInd w:val="0"/>
        <w:snapToGrid w:val="0"/>
        <w:spacing w:line="36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一. 总  则</w:t>
      </w:r>
    </w:p>
    <w:p w14:paraId="68A98914">
      <w:pPr>
        <w:keepNext w:val="0"/>
        <w:keepLines w:val="0"/>
        <w:pageBreakBefore w:val="0"/>
        <w:shd w:val="clear" w:color="auto" w:fill="auto"/>
        <w:kinsoku/>
        <w:wordWrap/>
        <w:topLinePunct w:val="0"/>
        <w:bidi w:val="0"/>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工作遵循公平、公正、科学、择优原则和诚实、信誉、效率的服务原则。本着科学、严谨的态度，认真对投标文件进行综合评定，提出优选方案，编写评标报告。对落标单位，评委会不作任何落标解释。投标人不得以任何方式干扰招投标工作的进行，一经发现其投标文件将被拒绝。</w:t>
      </w:r>
    </w:p>
    <w:p w14:paraId="3380A5B1">
      <w:pPr>
        <w:keepNext w:val="0"/>
        <w:keepLines w:val="0"/>
        <w:pageBreakBefore w:val="0"/>
        <w:shd w:val="clear" w:color="auto" w:fill="auto"/>
        <w:kinsoku/>
        <w:wordWrap/>
        <w:topLinePunct w:val="0"/>
        <w:bidi w:val="0"/>
        <w:adjustRightInd w:val="0"/>
        <w:snapToGrid w:val="0"/>
        <w:spacing w:line="36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二、评标组织</w:t>
      </w:r>
    </w:p>
    <w:p w14:paraId="5D5D1657">
      <w:pPr>
        <w:keepNext w:val="0"/>
        <w:keepLines w:val="0"/>
        <w:pageBreakBefore w:val="0"/>
        <w:shd w:val="clear" w:color="auto" w:fill="auto"/>
        <w:kinsoku/>
        <w:wordWrap/>
        <w:topLinePunct w:val="0"/>
        <w:bidi w:val="0"/>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评标工作由采购人依法组建的评标委员会负责，评标全过程由有关部门指导监督。</w:t>
      </w:r>
    </w:p>
    <w:p w14:paraId="7C69AB78">
      <w:pPr>
        <w:keepNext w:val="0"/>
        <w:keepLines w:val="0"/>
        <w:pageBreakBefore w:val="0"/>
        <w:shd w:val="clear" w:color="auto" w:fill="auto"/>
        <w:kinsoku/>
        <w:wordWrap/>
        <w:topLinePunct w:val="0"/>
        <w:bidi w:val="0"/>
        <w:adjustRightInd w:val="0"/>
        <w:snapToGrid w:val="0"/>
        <w:spacing w:line="36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三、评标办法</w:t>
      </w:r>
    </w:p>
    <w:p w14:paraId="45809419">
      <w:pPr>
        <w:keepNext w:val="0"/>
        <w:keepLines w:val="0"/>
        <w:pageBreakBefore w:val="0"/>
        <w:shd w:val="clear" w:color="auto" w:fill="auto"/>
        <w:kinsoku/>
        <w:wordWrap/>
        <w:topLinePunct w:val="0"/>
        <w:bidi w:val="0"/>
        <w:adjustRightInd w:val="0"/>
        <w:snapToGrid w:val="0"/>
        <w:spacing w:line="360" w:lineRule="auto"/>
        <w:ind w:firstLine="420"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1、本次采购采用百分制综合评分法，即投标人最大限度地满足采购文件实质性要求的基础上，按照采购文件的各项因素进行综合评审后，以评标总得分最高的投标人和次高的投标人作为第一和第二排序的中标候选人的评标方法。根据采购要求，总分设定为100分；其中商务技术分</w:t>
      </w:r>
      <w:r>
        <w:rPr>
          <w:rFonts w:hint="eastAsia" w:asciiTheme="minorEastAsia" w:hAnsiTheme="minorEastAsia" w:eastAsiaTheme="minorEastAsia" w:cstheme="minorEastAsia"/>
          <w:color w:val="auto"/>
          <w:sz w:val="21"/>
          <w:szCs w:val="21"/>
          <w:highlight w:val="none"/>
          <w:lang w:val="en-US" w:eastAsia="zh-CN"/>
        </w:rPr>
        <w:t>60</w:t>
      </w:r>
      <w:r>
        <w:rPr>
          <w:rFonts w:hint="eastAsia" w:asciiTheme="minorEastAsia" w:hAnsiTheme="minorEastAsia" w:eastAsiaTheme="minorEastAsia" w:cstheme="minorEastAsia"/>
          <w:color w:val="auto"/>
          <w:sz w:val="21"/>
          <w:szCs w:val="21"/>
          <w:highlight w:val="none"/>
        </w:rPr>
        <w:t>分、报价分</w:t>
      </w:r>
      <w:r>
        <w:rPr>
          <w:rFonts w:hint="eastAsia" w:asciiTheme="minorEastAsia" w:hAnsiTheme="minorEastAsia" w:eastAsiaTheme="minorEastAsia" w:cstheme="minorEastAsia"/>
          <w:color w:val="auto"/>
          <w:sz w:val="21"/>
          <w:szCs w:val="21"/>
          <w:highlight w:val="none"/>
          <w:lang w:val="en-US" w:eastAsia="zh-CN"/>
        </w:rPr>
        <w:t>40</w:t>
      </w:r>
      <w:r>
        <w:rPr>
          <w:rFonts w:hint="eastAsia" w:asciiTheme="minorEastAsia" w:hAnsiTheme="minorEastAsia" w:eastAsiaTheme="minorEastAsia" w:cstheme="minorEastAsia"/>
          <w:color w:val="auto"/>
          <w:sz w:val="21"/>
          <w:szCs w:val="21"/>
          <w:highlight w:val="none"/>
        </w:rPr>
        <w:t>分。</w:t>
      </w:r>
    </w:p>
    <w:p w14:paraId="620DADDE">
      <w:pPr>
        <w:pStyle w:val="17"/>
        <w:keepNext w:val="0"/>
        <w:keepLines w:val="0"/>
        <w:pageBreakBefore w:val="0"/>
        <w:shd w:val="clear" w:color="auto" w:fill="auto"/>
        <w:kinsoku/>
        <w:wordWrap/>
        <w:topLinePunct w:val="0"/>
        <w:bidi w:val="0"/>
        <w:snapToGrid w:val="0"/>
        <w:spacing w:line="360" w:lineRule="auto"/>
        <w:ind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2、投标截止时间止及评审期间，出现有效投标人不足法定</w:t>
      </w:r>
      <w:r>
        <w:rPr>
          <w:rFonts w:hint="eastAsia" w:asciiTheme="minorEastAsia" w:hAnsiTheme="minorEastAsia" w:eastAsiaTheme="minorEastAsia" w:cstheme="minorEastAsia"/>
          <w:b/>
          <w:color w:val="auto"/>
          <w:sz w:val="21"/>
          <w:szCs w:val="21"/>
          <w:highlight w:val="none"/>
          <w:lang w:val="en-US" w:eastAsia="zh-CN"/>
        </w:rPr>
        <w:t>家数</w:t>
      </w:r>
      <w:r>
        <w:rPr>
          <w:rFonts w:hint="eastAsia" w:asciiTheme="minorEastAsia" w:hAnsiTheme="minorEastAsia" w:eastAsiaTheme="minorEastAsia" w:cstheme="minorEastAsia"/>
          <w:b/>
          <w:color w:val="auto"/>
          <w:sz w:val="21"/>
          <w:szCs w:val="21"/>
          <w:highlight w:val="none"/>
        </w:rPr>
        <w:t>的，应按流标处理。另根据《</w:t>
      </w:r>
      <w:r>
        <w:rPr>
          <w:rFonts w:hint="eastAsia" w:asciiTheme="minorEastAsia" w:hAnsiTheme="minorEastAsia" w:eastAsiaTheme="minorEastAsia" w:cstheme="minorEastAsia"/>
          <w:b/>
          <w:color w:val="auto"/>
          <w:sz w:val="21"/>
          <w:szCs w:val="21"/>
          <w:highlight w:val="none"/>
          <w:lang w:eastAsia="zh-CN"/>
        </w:rPr>
        <w:t>温州市市属国有企业采购管理办法</w:t>
      </w:r>
      <w:r>
        <w:rPr>
          <w:rFonts w:hint="eastAsia" w:asciiTheme="minorEastAsia" w:hAnsiTheme="minorEastAsia" w:eastAsiaTheme="minorEastAsia" w:cstheme="minorEastAsia"/>
          <w:b/>
          <w:color w:val="auto"/>
          <w:sz w:val="21"/>
          <w:szCs w:val="21"/>
          <w:highlight w:val="none"/>
        </w:rPr>
        <w:t>》第</w:t>
      </w:r>
      <w:r>
        <w:rPr>
          <w:rFonts w:hint="eastAsia" w:asciiTheme="minorEastAsia" w:hAnsiTheme="minorEastAsia" w:eastAsiaTheme="minorEastAsia" w:cstheme="minorEastAsia"/>
          <w:b/>
          <w:color w:val="auto"/>
          <w:sz w:val="21"/>
          <w:szCs w:val="21"/>
          <w:highlight w:val="none"/>
          <w:lang w:eastAsia="zh-CN"/>
        </w:rPr>
        <w:t>三十六</w:t>
      </w:r>
      <w:r>
        <w:rPr>
          <w:rFonts w:hint="eastAsia" w:asciiTheme="minorEastAsia" w:hAnsiTheme="minorEastAsia" w:eastAsiaTheme="minorEastAsia" w:cstheme="minorEastAsia"/>
          <w:b/>
          <w:color w:val="auto"/>
          <w:sz w:val="21"/>
          <w:szCs w:val="21"/>
          <w:highlight w:val="none"/>
        </w:rPr>
        <w:t>条规定，可以按原采购方式继续进行采购活动，但采购项目第一次评审活动除外。</w:t>
      </w:r>
    </w:p>
    <w:p w14:paraId="0E5B5773">
      <w:pPr>
        <w:keepNext w:val="0"/>
        <w:keepLines w:val="0"/>
        <w:pageBreakBefore w:val="0"/>
        <w:shd w:val="clear" w:color="auto" w:fill="auto"/>
        <w:kinsoku/>
        <w:wordWrap/>
        <w:topLinePunct w:val="0"/>
        <w:bidi w:val="0"/>
        <w:adjustRightInd w:val="0"/>
        <w:snapToGrid w:val="0"/>
        <w:spacing w:line="36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四</w:t>
      </w:r>
      <w:r>
        <w:rPr>
          <w:rFonts w:hint="eastAsia" w:asciiTheme="minorEastAsia" w:hAnsiTheme="minorEastAsia" w:eastAsiaTheme="minorEastAsia" w:cstheme="minorEastAsia"/>
          <w:b/>
          <w:color w:val="auto"/>
          <w:sz w:val="21"/>
          <w:szCs w:val="21"/>
          <w:highlight w:val="none"/>
        </w:rPr>
        <w:t>、评分细则</w:t>
      </w:r>
    </w:p>
    <w:p w14:paraId="7BC517BB">
      <w:pPr>
        <w:keepNext w:val="0"/>
        <w:keepLines w:val="0"/>
        <w:pageBreakBefore w:val="0"/>
        <w:shd w:val="clear" w:color="auto" w:fill="auto"/>
        <w:kinsoku/>
        <w:wordWrap/>
        <w:topLinePunct w:val="0"/>
        <w:bidi w:val="0"/>
        <w:adjustRightInd w:val="0"/>
        <w:snapToGrid w:val="0"/>
        <w:spacing w:line="360" w:lineRule="auto"/>
        <w:ind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1、商务技术分的评定（</w:t>
      </w:r>
      <w:r>
        <w:rPr>
          <w:rFonts w:hint="eastAsia" w:asciiTheme="minorEastAsia" w:hAnsiTheme="minorEastAsia" w:eastAsiaTheme="minorEastAsia" w:cstheme="minorEastAsia"/>
          <w:b/>
          <w:color w:val="auto"/>
          <w:sz w:val="21"/>
          <w:szCs w:val="21"/>
          <w:highlight w:val="none"/>
          <w:lang w:val="en-US" w:eastAsia="zh-CN"/>
        </w:rPr>
        <w:t>60</w:t>
      </w:r>
      <w:r>
        <w:rPr>
          <w:rFonts w:hint="eastAsia" w:asciiTheme="minorEastAsia" w:hAnsiTheme="minorEastAsia" w:eastAsiaTheme="minorEastAsia" w:cstheme="minorEastAsia"/>
          <w:b/>
          <w:color w:val="auto"/>
          <w:sz w:val="21"/>
          <w:szCs w:val="21"/>
          <w:highlight w:val="none"/>
        </w:rPr>
        <w:t xml:space="preserve">分） </w:t>
      </w:r>
    </w:p>
    <w:p w14:paraId="04C44DC3">
      <w:pPr>
        <w:keepNext w:val="0"/>
        <w:keepLines w:val="0"/>
        <w:pageBreakBefore w:val="0"/>
        <w:shd w:val="clear" w:color="auto" w:fill="auto"/>
        <w:kinsoku/>
        <w:wordWrap/>
        <w:topLinePunct w:val="0"/>
        <w:bidi w:val="0"/>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商务技术评分由评委成员按下列评分细则中的评分项目进行统一评判打分，并记名。评标委员会对各投标人评分的算术平均值为各投标人的商务技术分最终得分（小数点后按四舍五入保留2位）。</w:t>
      </w:r>
    </w:p>
    <w:tbl>
      <w:tblPr>
        <w:tblStyle w:val="33"/>
        <w:tblpPr w:leftFromText="180" w:rightFromText="180" w:vertAnchor="text" w:horzAnchor="page" w:tblpXSpec="center" w:tblpY="468"/>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09"/>
        <w:gridCol w:w="1181"/>
        <w:gridCol w:w="7026"/>
        <w:gridCol w:w="834"/>
      </w:tblGrid>
      <w:tr w14:paraId="4209A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jc w:val="center"/>
        </w:trPr>
        <w:tc>
          <w:tcPr>
            <w:tcW w:w="411" w:type="pct"/>
            <w:tcBorders>
              <w:tl2br w:val="nil"/>
              <w:tr2bl w:val="nil"/>
            </w:tcBorders>
            <w:shd w:val="clear" w:color="auto" w:fill="auto"/>
            <w:noWrap w:val="0"/>
            <w:vAlign w:val="center"/>
          </w:tcPr>
          <w:p w14:paraId="440EFAD6">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序号</w:t>
            </w:r>
          </w:p>
        </w:tc>
        <w:tc>
          <w:tcPr>
            <w:tcW w:w="599" w:type="pct"/>
            <w:tcBorders>
              <w:tl2br w:val="nil"/>
              <w:tr2bl w:val="nil"/>
            </w:tcBorders>
            <w:shd w:val="clear" w:color="auto" w:fill="auto"/>
            <w:noWrap w:val="0"/>
            <w:vAlign w:val="center"/>
          </w:tcPr>
          <w:p w14:paraId="2ED610A6">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评定项目</w:t>
            </w:r>
          </w:p>
        </w:tc>
        <w:tc>
          <w:tcPr>
            <w:tcW w:w="3565" w:type="pct"/>
            <w:tcBorders>
              <w:tl2br w:val="nil"/>
              <w:tr2bl w:val="nil"/>
            </w:tcBorders>
            <w:shd w:val="clear" w:color="auto" w:fill="auto"/>
            <w:noWrap w:val="0"/>
            <w:vAlign w:val="center"/>
          </w:tcPr>
          <w:p w14:paraId="62F18F34">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评分标准</w:t>
            </w:r>
          </w:p>
        </w:tc>
        <w:tc>
          <w:tcPr>
            <w:tcW w:w="423" w:type="pct"/>
            <w:tcBorders>
              <w:tl2br w:val="nil"/>
              <w:tr2bl w:val="nil"/>
            </w:tcBorders>
            <w:shd w:val="clear" w:color="auto" w:fill="auto"/>
            <w:noWrap w:val="0"/>
            <w:vAlign w:val="center"/>
          </w:tcPr>
          <w:p w14:paraId="2BEA5691">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分值</w:t>
            </w:r>
          </w:p>
        </w:tc>
      </w:tr>
      <w:tr w14:paraId="59036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jc w:val="center"/>
        </w:trPr>
        <w:tc>
          <w:tcPr>
            <w:tcW w:w="411" w:type="pct"/>
            <w:vMerge w:val="restart"/>
            <w:tcBorders>
              <w:tl2br w:val="nil"/>
              <w:tr2bl w:val="nil"/>
            </w:tcBorders>
            <w:shd w:val="clear" w:color="auto" w:fill="auto"/>
            <w:noWrap w:val="0"/>
            <w:vAlign w:val="center"/>
          </w:tcPr>
          <w:p w14:paraId="2217F172">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b w:val="0"/>
                <w:bCs w:val="0"/>
                <w:color w:val="auto"/>
                <w:kern w:val="0"/>
                <w:sz w:val="21"/>
                <w:szCs w:val="21"/>
                <w:highlight w:val="none"/>
                <w:lang w:bidi="ar"/>
              </w:rPr>
              <w:t>1</w:t>
            </w:r>
          </w:p>
        </w:tc>
        <w:tc>
          <w:tcPr>
            <w:tcW w:w="599" w:type="pct"/>
            <w:vMerge w:val="restart"/>
            <w:tcBorders>
              <w:tl2br w:val="nil"/>
              <w:tr2bl w:val="nil"/>
            </w:tcBorders>
            <w:shd w:val="clear" w:color="auto" w:fill="auto"/>
            <w:noWrap w:val="0"/>
            <w:vAlign w:val="center"/>
          </w:tcPr>
          <w:p w14:paraId="7032462A">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b w:val="0"/>
                <w:bCs w:val="0"/>
                <w:color w:val="auto"/>
                <w:kern w:val="0"/>
                <w:sz w:val="21"/>
                <w:szCs w:val="21"/>
                <w:highlight w:val="none"/>
                <w:lang w:eastAsia="zh-CN" w:bidi="ar"/>
              </w:rPr>
              <w:t>投标供应商</w:t>
            </w:r>
            <w:r>
              <w:rPr>
                <w:rFonts w:hint="eastAsia" w:asciiTheme="minorEastAsia" w:hAnsiTheme="minorEastAsia" w:eastAsiaTheme="minorEastAsia" w:cstheme="minorEastAsia"/>
                <w:b w:val="0"/>
                <w:bCs w:val="0"/>
                <w:color w:val="auto"/>
                <w:kern w:val="0"/>
                <w:sz w:val="21"/>
                <w:szCs w:val="21"/>
                <w:highlight w:val="none"/>
                <w:lang w:bidi="ar"/>
              </w:rPr>
              <w:t>综合情况</w:t>
            </w:r>
          </w:p>
        </w:tc>
        <w:tc>
          <w:tcPr>
            <w:tcW w:w="3565" w:type="pct"/>
            <w:tcBorders>
              <w:tl2br w:val="nil"/>
              <w:tr2bl w:val="nil"/>
            </w:tcBorders>
            <w:shd w:val="clear" w:color="auto" w:fill="auto"/>
            <w:noWrap w:val="0"/>
            <w:vAlign w:val="center"/>
          </w:tcPr>
          <w:p w14:paraId="0FE9C2C8">
            <w:pPr>
              <w:keepNext w:val="0"/>
              <w:keepLines w:val="0"/>
              <w:pageBreakBefore w:val="0"/>
              <w:widowControl/>
              <w:numPr>
                <w:ilvl w:val="0"/>
                <w:numId w:val="19"/>
              </w:numPr>
              <w:kinsoku/>
              <w:wordWrap/>
              <w:overflowPunct/>
              <w:topLinePunct w:val="0"/>
              <w:autoSpaceDE/>
              <w:autoSpaceDN/>
              <w:bidi w:val="0"/>
              <w:adjustRightInd/>
              <w:spacing w:line="360" w:lineRule="auto"/>
              <w:textAlignment w:val="center"/>
              <w:rPr>
                <w:rFonts w:hint="default"/>
                <w:color w:val="auto"/>
                <w:highlight w:val="none"/>
                <w:lang w:val="en-US" w:eastAsia="zh-CN"/>
              </w:rPr>
            </w:pPr>
            <w:r>
              <w:rPr>
                <w:rFonts w:hint="eastAsia" w:asciiTheme="minorEastAsia" w:hAnsiTheme="minorEastAsia" w:eastAsiaTheme="minorEastAsia" w:cstheme="minorEastAsia"/>
                <w:color w:val="auto"/>
                <w:sz w:val="21"/>
                <w:szCs w:val="21"/>
                <w:highlight w:val="none"/>
              </w:rPr>
              <w:t>投标人具有有效的ISO20000信息技术服务管理体系证书、ISO27001信息安全管理体系认证证书、ISO27701隐私管理体系认证证书、ISO27040数据储存安全认证证书、ISO29151个人身份信息保护认证证书，以上证书认证范围需包含信息系统集成、信息系统软硬件维护，每具备一项得1分，最高得5分。</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rPr>
              <w:t>注：提供证书</w:t>
            </w:r>
            <w:r>
              <w:rPr>
                <w:rFonts w:hint="eastAsia" w:asciiTheme="minorEastAsia" w:hAnsiTheme="minorEastAsia" w:eastAsiaTheme="minorEastAsia" w:cstheme="minorEastAsia"/>
                <w:color w:val="auto"/>
                <w:sz w:val="21"/>
                <w:szCs w:val="21"/>
                <w:highlight w:val="none"/>
                <w:lang w:eastAsia="zh-CN"/>
              </w:rPr>
              <w:t>复制件</w:t>
            </w:r>
            <w:r>
              <w:rPr>
                <w:rFonts w:hint="eastAsia" w:asciiTheme="minorEastAsia" w:hAnsiTheme="minorEastAsia" w:eastAsiaTheme="minorEastAsia" w:cstheme="minorEastAsia"/>
                <w:color w:val="auto"/>
                <w:sz w:val="21"/>
                <w:szCs w:val="21"/>
                <w:highlight w:val="none"/>
              </w:rPr>
              <w:t>加盖公章，并</w:t>
            </w:r>
            <w:r>
              <w:rPr>
                <w:rFonts w:hint="eastAsia" w:asciiTheme="minorEastAsia" w:hAnsiTheme="minorEastAsia" w:eastAsiaTheme="minorEastAsia" w:cstheme="minorEastAsia"/>
                <w:color w:val="auto"/>
                <w:sz w:val="21"/>
                <w:szCs w:val="21"/>
                <w:highlight w:val="none"/>
                <w:lang w:val="en-US" w:eastAsia="zh-CN"/>
              </w:rPr>
              <w:t>提供</w:t>
            </w:r>
            <w:r>
              <w:rPr>
                <w:rFonts w:hint="eastAsia" w:asciiTheme="minorEastAsia" w:hAnsiTheme="minorEastAsia" w:eastAsiaTheme="minorEastAsia" w:cstheme="minorEastAsia"/>
                <w:color w:val="auto"/>
                <w:sz w:val="21"/>
                <w:szCs w:val="21"/>
                <w:highlight w:val="none"/>
              </w:rPr>
              <w:t>在全国认证认可信息公共服务平台(http://www.cnca.gov.cn)查询到证书</w:t>
            </w:r>
            <w:r>
              <w:rPr>
                <w:rFonts w:hint="eastAsia" w:asciiTheme="minorEastAsia" w:hAnsiTheme="minorEastAsia" w:eastAsiaTheme="minorEastAsia" w:cstheme="minorEastAsia"/>
                <w:color w:val="auto"/>
                <w:sz w:val="21"/>
                <w:szCs w:val="21"/>
                <w:highlight w:val="none"/>
                <w:lang w:val="en-US" w:eastAsia="zh-CN"/>
              </w:rPr>
              <w:t>有效性截图</w:t>
            </w:r>
            <w:r>
              <w:rPr>
                <w:rFonts w:hint="eastAsia" w:asciiTheme="minorEastAsia" w:hAnsiTheme="minorEastAsia" w:eastAsiaTheme="minorEastAsia" w:cstheme="minorEastAsia"/>
                <w:color w:val="auto"/>
                <w:sz w:val="21"/>
                <w:szCs w:val="21"/>
                <w:highlight w:val="none"/>
              </w:rPr>
              <w:t>，否则不得分。</w:t>
            </w:r>
          </w:p>
        </w:tc>
        <w:tc>
          <w:tcPr>
            <w:tcW w:w="423" w:type="pct"/>
            <w:tcBorders>
              <w:tl2br w:val="nil"/>
              <w:tr2bl w:val="nil"/>
            </w:tcBorders>
            <w:shd w:val="clear" w:color="auto" w:fill="auto"/>
            <w:noWrap w:val="0"/>
            <w:vAlign w:val="center"/>
          </w:tcPr>
          <w:p w14:paraId="7897FB8E">
            <w:pPr>
              <w:keepNext w:val="0"/>
              <w:keepLines w:val="0"/>
              <w:pageBreakBefore w:val="0"/>
              <w:widowControl/>
              <w:kinsoku/>
              <w:wordWrap/>
              <w:overflowPunct/>
              <w:topLinePunct w:val="0"/>
              <w:autoSpaceDE/>
              <w:autoSpaceDN/>
              <w:bidi w:val="0"/>
              <w:adjustRightInd/>
              <w:spacing w:line="360" w:lineRule="auto"/>
              <w:jc w:val="center"/>
              <w:textAlignment w:val="center"/>
              <w:rPr>
                <w:rFonts w:hint="default"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5</w:t>
            </w:r>
          </w:p>
        </w:tc>
      </w:tr>
      <w:tr w14:paraId="35766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jc w:val="center"/>
        </w:trPr>
        <w:tc>
          <w:tcPr>
            <w:tcW w:w="411" w:type="pct"/>
            <w:vMerge w:val="continue"/>
            <w:tcBorders>
              <w:tl2br w:val="nil"/>
              <w:tr2bl w:val="nil"/>
            </w:tcBorders>
            <w:shd w:val="clear" w:color="auto" w:fill="auto"/>
            <w:noWrap w:val="0"/>
            <w:vAlign w:val="center"/>
          </w:tcPr>
          <w:p w14:paraId="18702B9B">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p>
        </w:tc>
        <w:tc>
          <w:tcPr>
            <w:tcW w:w="599" w:type="pct"/>
            <w:vMerge w:val="continue"/>
            <w:tcBorders>
              <w:tl2br w:val="nil"/>
              <w:tr2bl w:val="nil"/>
            </w:tcBorders>
            <w:shd w:val="clear" w:color="auto" w:fill="auto"/>
            <w:noWrap w:val="0"/>
            <w:vAlign w:val="center"/>
          </w:tcPr>
          <w:p w14:paraId="3E25E707">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Theme="minorEastAsia" w:hAnsiTheme="minorEastAsia" w:eastAsiaTheme="minorEastAsia" w:cstheme="minorEastAsia"/>
                <w:b w:val="0"/>
                <w:bCs w:val="0"/>
                <w:color w:val="auto"/>
                <w:kern w:val="0"/>
                <w:sz w:val="21"/>
                <w:szCs w:val="21"/>
                <w:highlight w:val="none"/>
                <w:lang w:eastAsia="zh-CN" w:bidi="ar"/>
              </w:rPr>
            </w:pPr>
          </w:p>
        </w:tc>
        <w:tc>
          <w:tcPr>
            <w:tcW w:w="3565" w:type="pct"/>
            <w:tcBorders>
              <w:tl2br w:val="nil"/>
              <w:tr2bl w:val="nil"/>
            </w:tcBorders>
            <w:shd w:val="clear" w:color="auto" w:fill="auto"/>
            <w:noWrap w:val="0"/>
            <w:vAlign w:val="center"/>
          </w:tcPr>
          <w:p w14:paraId="58DAECF0">
            <w:pPr>
              <w:keepNext w:val="0"/>
              <w:keepLines w:val="0"/>
              <w:pageBreakBefore w:val="0"/>
              <w:widowControl/>
              <w:numPr>
                <w:ilvl w:val="0"/>
                <w:numId w:val="20"/>
              </w:numPr>
              <w:kinsoku/>
              <w:wordWrap/>
              <w:overflowPunct/>
              <w:topLinePunct w:val="0"/>
              <w:autoSpaceDE/>
              <w:autoSpaceDN/>
              <w:bidi w:val="0"/>
              <w:adjustRightInd/>
              <w:spacing w:line="360" w:lineRule="auto"/>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投标人具备CMMI3</w:t>
            </w:r>
            <w:r>
              <w:rPr>
                <w:rFonts w:hint="eastAsia" w:asciiTheme="minorEastAsia" w:hAnsiTheme="minorEastAsia" w:eastAsiaTheme="minorEastAsia" w:cstheme="minorEastAsia"/>
                <w:color w:val="auto"/>
                <w:sz w:val="21"/>
                <w:szCs w:val="21"/>
                <w:highlight w:val="none"/>
                <w:lang w:val="en-US" w:eastAsia="zh-CN"/>
              </w:rPr>
              <w:t>级</w:t>
            </w:r>
            <w:r>
              <w:rPr>
                <w:rFonts w:hint="eastAsia" w:asciiTheme="minorEastAsia" w:hAnsiTheme="minorEastAsia" w:eastAsiaTheme="minorEastAsia" w:cstheme="minorEastAsia"/>
                <w:color w:val="auto"/>
                <w:sz w:val="21"/>
                <w:szCs w:val="21"/>
                <w:highlight w:val="none"/>
              </w:rPr>
              <w:t>及以上证书的得2分</w:t>
            </w:r>
            <w:r>
              <w:rPr>
                <w:rFonts w:hint="eastAsia" w:asciiTheme="minorEastAsia" w:hAnsiTheme="minorEastAsia" w:eastAsiaTheme="minorEastAsia" w:cstheme="minorEastAsia"/>
                <w:color w:val="auto"/>
                <w:sz w:val="21"/>
                <w:szCs w:val="21"/>
                <w:highlight w:val="none"/>
                <w:lang w:eastAsia="zh-CN"/>
              </w:rPr>
              <w:t>；</w:t>
            </w:r>
          </w:p>
          <w:p w14:paraId="04CCF377">
            <w:pPr>
              <w:keepNext w:val="0"/>
              <w:keepLines w:val="0"/>
              <w:pageBreakBefore w:val="0"/>
              <w:widowControl/>
              <w:numPr>
                <w:ilvl w:val="0"/>
                <w:numId w:val="20"/>
              </w:numPr>
              <w:kinsoku/>
              <w:wordWrap/>
              <w:overflowPunct/>
              <w:topLinePunct w:val="0"/>
              <w:autoSpaceDE/>
              <w:autoSpaceDN/>
              <w:bidi w:val="0"/>
              <w:adjustRightInd/>
              <w:spacing w:line="360" w:lineRule="auto"/>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投标人具备</w:t>
            </w:r>
            <w:r>
              <w:rPr>
                <w:rFonts w:hint="eastAsia" w:asciiTheme="minorEastAsia" w:hAnsiTheme="minorEastAsia" w:eastAsiaTheme="minorEastAsia" w:cstheme="minorEastAsia"/>
                <w:color w:val="auto"/>
                <w:sz w:val="21"/>
                <w:szCs w:val="21"/>
                <w:highlight w:val="none"/>
                <w:lang w:val="en-US" w:eastAsia="zh-CN"/>
              </w:rPr>
              <w:t>CCRC</w:t>
            </w:r>
            <w:r>
              <w:rPr>
                <w:rFonts w:hint="eastAsia" w:asciiTheme="minorEastAsia" w:hAnsiTheme="minorEastAsia" w:eastAsiaTheme="minorEastAsia" w:cstheme="minorEastAsia"/>
                <w:color w:val="auto"/>
                <w:sz w:val="21"/>
                <w:szCs w:val="21"/>
                <w:highlight w:val="none"/>
                <w:lang w:eastAsia="zh-CN"/>
              </w:rPr>
              <w:t>信息系统安全运维服务</w:t>
            </w:r>
            <w:r>
              <w:rPr>
                <w:rFonts w:hint="eastAsia" w:asciiTheme="minorEastAsia" w:hAnsiTheme="minorEastAsia" w:eastAsiaTheme="minorEastAsia" w:cstheme="minorEastAsia"/>
                <w:color w:val="auto"/>
                <w:sz w:val="21"/>
                <w:szCs w:val="21"/>
                <w:highlight w:val="none"/>
                <w:lang w:val="en-US" w:eastAsia="zh-CN"/>
              </w:rPr>
              <w:t>证书</w:t>
            </w:r>
            <w:r>
              <w:rPr>
                <w:rFonts w:hint="eastAsia" w:asciiTheme="minorEastAsia" w:hAnsiTheme="minorEastAsia" w:eastAsiaTheme="minorEastAsia" w:cstheme="minorEastAsia"/>
                <w:color w:val="auto"/>
                <w:sz w:val="21"/>
                <w:szCs w:val="21"/>
                <w:highlight w:val="none"/>
              </w:rPr>
              <w:t>的得2分</w:t>
            </w:r>
            <w:r>
              <w:rPr>
                <w:rFonts w:hint="eastAsia" w:asciiTheme="minorEastAsia" w:hAnsiTheme="minorEastAsia" w:eastAsiaTheme="minorEastAsia" w:cstheme="minorEastAsia"/>
                <w:color w:val="auto"/>
                <w:sz w:val="21"/>
                <w:szCs w:val="21"/>
                <w:highlight w:val="none"/>
                <w:lang w:eastAsia="zh-CN"/>
              </w:rPr>
              <w:t>；</w:t>
            </w:r>
          </w:p>
          <w:p w14:paraId="31FC5FF3">
            <w:pPr>
              <w:keepNext w:val="0"/>
              <w:keepLines w:val="0"/>
              <w:pageBreakBefore w:val="0"/>
              <w:widowControl/>
              <w:numPr>
                <w:ilvl w:val="0"/>
                <w:numId w:val="20"/>
              </w:numPr>
              <w:kinsoku/>
              <w:wordWrap/>
              <w:overflowPunct/>
              <w:topLinePunct w:val="0"/>
              <w:autoSpaceDE/>
              <w:autoSpaceDN/>
              <w:bidi w:val="0"/>
              <w:adjustRightInd/>
              <w:spacing w:line="360" w:lineRule="auto"/>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投标人具备</w:t>
            </w:r>
            <w:r>
              <w:rPr>
                <w:rFonts w:hint="eastAsia" w:asciiTheme="minorEastAsia" w:hAnsiTheme="minorEastAsia" w:eastAsiaTheme="minorEastAsia" w:cstheme="minorEastAsia"/>
                <w:color w:val="auto"/>
                <w:sz w:val="21"/>
                <w:szCs w:val="21"/>
                <w:highlight w:val="none"/>
                <w:lang w:val="en-US" w:eastAsia="zh-CN"/>
              </w:rPr>
              <w:t>CCRC</w:t>
            </w:r>
            <w:r>
              <w:rPr>
                <w:rFonts w:hint="eastAsia" w:asciiTheme="minorEastAsia" w:hAnsiTheme="minorEastAsia" w:eastAsiaTheme="minorEastAsia" w:cstheme="minorEastAsia"/>
                <w:color w:val="auto"/>
                <w:sz w:val="21"/>
                <w:szCs w:val="21"/>
                <w:highlight w:val="none"/>
                <w:lang w:eastAsia="zh-CN"/>
              </w:rPr>
              <w:t>信息系统安全集成服务</w:t>
            </w:r>
            <w:r>
              <w:rPr>
                <w:rFonts w:hint="eastAsia" w:asciiTheme="minorEastAsia" w:hAnsiTheme="minorEastAsia" w:eastAsiaTheme="minorEastAsia" w:cstheme="minorEastAsia"/>
                <w:color w:val="auto"/>
                <w:sz w:val="21"/>
                <w:szCs w:val="21"/>
                <w:highlight w:val="none"/>
                <w:lang w:val="en-US" w:eastAsia="zh-CN"/>
              </w:rPr>
              <w:t>证书</w:t>
            </w:r>
            <w:r>
              <w:rPr>
                <w:rFonts w:hint="eastAsia" w:asciiTheme="minorEastAsia" w:hAnsiTheme="minorEastAsia" w:eastAsiaTheme="minorEastAsia" w:cstheme="minorEastAsia"/>
                <w:color w:val="auto"/>
                <w:sz w:val="21"/>
                <w:szCs w:val="21"/>
                <w:highlight w:val="none"/>
              </w:rPr>
              <w:t>的得2分</w:t>
            </w:r>
            <w:r>
              <w:rPr>
                <w:rFonts w:hint="eastAsia" w:asciiTheme="minorEastAsia" w:hAnsiTheme="minorEastAsia" w:eastAsiaTheme="minorEastAsia" w:cstheme="minorEastAsia"/>
                <w:color w:val="auto"/>
                <w:sz w:val="21"/>
                <w:szCs w:val="21"/>
                <w:highlight w:val="none"/>
                <w:lang w:eastAsia="zh-CN"/>
              </w:rPr>
              <w:t>；</w:t>
            </w:r>
          </w:p>
          <w:p w14:paraId="63882107">
            <w:pPr>
              <w:keepNext w:val="0"/>
              <w:keepLines w:val="0"/>
              <w:pageBreakBefore w:val="0"/>
              <w:widowControl/>
              <w:numPr>
                <w:ilvl w:val="0"/>
                <w:numId w:val="20"/>
              </w:numPr>
              <w:kinsoku/>
              <w:wordWrap/>
              <w:overflowPunct/>
              <w:topLinePunct w:val="0"/>
              <w:autoSpaceDE/>
              <w:autoSpaceDN/>
              <w:bidi w:val="0"/>
              <w:adjustRightInd/>
              <w:spacing w:line="360" w:lineRule="auto"/>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投标人具备</w:t>
            </w:r>
            <w:bookmarkStart w:id="192" w:name="_Toc28387"/>
            <w:r>
              <w:rPr>
                <w:rFonts w:hint="eastAsia" w:asciiTheme="minorEastAsia" w:hAnsiTheme="minorEastAsia" w:eastAsiaTheme="minorEastAsia" w:cstheme="minorEastAsia"/>
                <w:color w:val="auto"/>
                <w:sz w:val="21"/>
                <w:szCs w:val="21"/>
                <w:highlight w:val="none"/>
              </w:rPr>
              <w:t>信息技术服务</w:t>
            </w:r>
            <w:r>
              <w:rPr>
                <w:rFonts w:hint="eastAsia" w:asciiTheme="minorEastAsia" w:hAnsiTheme="minorEastAsia" w:eastAsiaTheme="minorEastAsia" w:cstheme="minorEastAsia"/>
                <w:color w:val="auto"/>
                <w:sz w:val="21"/>
                <w:szCs w:val="21"/>
                <w:highlight w:val="none"/>
                <w:lang w:val="en-US" w:eastAsia="zh-CN"/>
              </w:rPr>
              <w:t>运行</w:t>
            </w:r>
            <w:r>
              <w:rPr>
                <w:rFonts w:hint="eastAsia" w:asciiTheme="minorEastAsia" w:hAnsiTheme="minorEastAsia" w:eastAsiaTheme="minorEastAsia" w:cstheme="minorEastAsia"/>
                <w:color w:val="auto"/>
                <w:sz w:val="21"/>
                <w:szCs w:val="21"/>
                <w:highlight w:val="none"/>
              </w:rPr>
              <w:t>维护ITSS证书</w:t>
            </w:r>
            <w:bookmarkEnd w:id="192"/>
            <w:r>
              <w:rPr>
                <w:rFonts w:hint="eastAsia" w:asciiTheme="minorEastAsia" w:hAnsiTheme="minorEastAsia" w:eastAsiaTheme="minorEastAsia" w:cstheme="minorEastAsia"/>
                <w:color w:val="auto"/>
                <w:sz w:val="21"/>
                <w:szCs w:val="21"/>
                <w:highlight w:val="none"/>
              </w:rPr>
              <w:t>的得2分</w:t>
            </w:r>
            <w:r>
              <w:rPr>
                <w:rFonts w:hint="eastAsia" w:asciiTheme="minorEastAsia" w:hAnsiTheme="minorEastAsia" w:eastAsiaTheme="minorEastAsia" w:cstheme="minorEastAsia"/>
                <w:color w:val="auto"/>
                <w:sz w:val="21"/>
                <w:szCs w:val="21"/>
                <w:highlight w:val="none"/>
                <w:lang w:eastAsia="zh-CN"/>
              </w:rPr>
              <w:t>；</w:t>
            </w:r>
          </w:p>
          <w:p w14:paraId="2243473D">
            <w:pPr>
              <w:keepNext w:val="0"/>
              <w:keepLines w:val="0"/>
              <w:pageBreakBefore w:val="0"/>
              <w:widowControl/>
              <w:numPr>
                <w:ilvl w:val="0"/>
                <w:numId w:val="0"/>
              </w:numPr>
              <w:kinsoku/>
              <w:wordWrap/>
              <w:overflowPunct/>
              <w:topLinePunct w:val="0"/>
              <w:autoSpaceDE/>
              <w:autoSpaceDN/>
              <w:bidi w:val="0"/>
              <w:adjustRightInd/>
              <w:spacing w:line="360" w:lineRule="auto"/>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注：提供证书</w:t>
            </w:r>
            <w:r>
              <w:rPr>
                <w:rFonts w:hint="eastAsia" w:asciiTheme="minorEastAsia" w:hAnsiTheme="minorEastAsia" w:eastAsiaTheme="minorEastAsia" w:cstheme="minorEastAsia"/>
                <w:color w:val="auto"/>
                <w:sz w:val="21"/>
                <w:szCs w:val="21"/>
                <w:highlight w:val="none"/>
                <w:lang w:eastAsia="zh-CN"/>
              </w:rPr>
              <w:t>复制件</w:t>
            </w:r>
            <w:r>
              <w:rPr>
                <w:rFonts w:hint="eastAsia" w:asciiTheme="minorEastAsia" w:hAnsiTheme="minorEastAsia" w:eastAsiaTheme="minorEastAsia" w:cstheme="minorEastAsia"/>
                <w:color w:val="auto"/>
                <w:sz w:val="21"/>
                <w:szCs w:val="21"/>
                <w:highlight w:val="none"/>
              </w:rPr>
              <w:t>加盖公章，否则不得分。</w:t>
            </w:r>
          </w:p>
        </w:tc>
        <w:tc>
          <w:tcPr>
            <w:tcW w:w="423" w:type="pct"/>
            <w:tcBorders>
              <w:tl2br w:val="nil"/>
              <w:tr2bl w:val="nil"/>
            </w:tcBorders>
            <w:shd w:val="clear" w:color="auto" w:fill="auto"/>
            <w:noWrap w:val="0"/>
            <w:vAlign w:val="center"/>
          </w:tcPr>
          <w:p w14:paraId="581727BE">
            <w:pPr>
              <w:keepNext w:val="0"/>
              <w:keepLines w:val="0"/>
              <w:pageBreakBefore w:val="0"/>
              <w:widowControl/>
              <w:kinsoku/>
              <w:wordWrap/>
              <w:overflowPunct/>
              <w:topLinePunct w:val="0"/>
              <w:autoSpaceDE/>
              <w:autoSpaceDN/>
              <w:bidi w:val="0"/>
              <w:adjustRightInd/>
              <w:spacing w:line="360" w:lineRule="auto"/>
              <w:jc w:val="center"/>
              <w:textAlignment w:val="center"/>
              <w:rPr>
                <w:rFonts w:hint="default"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8</w:t>
            </w:r>
          </w:p>
        </w:tc>
      </w:tr>
      <w:tr w14:paraId="55701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411" w:type="pct"/>
            <w:tcBorders>
              <w:tl2br w:val="nil"/>
              <w:tr2bl w:val="nil"/>
            </w:tcBorders>
            <w:shd w:val="clear" w:color="auto" w:fill="auto"/>
            <w:noWrap w:val="0"/>
            <w:vAlign w:val="center"/>
          </w:tcPr>
          <w:p w14:paraId="45F6783F">
            <w:pPr>
              <w:keepNext w:val="0"/>
              <w:keepLines w:val="0"/>
              <w:pageBreakBefore w:val="0"/>
              <w:kinsoku/>
              <w:wordWrap/>
              <w:overflowPunct/>
              <w:topLinePunct w:val="0"/>
              <w:autoSpaceDE/>
              <w:autoSpaceDN/>
              <w:bidi w:val="0"/>
              <w:adjustRightInd/>
              <w:spacing w:line="360" w:lineRule="auto"/>
              <w:jc w:val="center"/>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2</w:t>
            </w:r>
          </w:p>
        </w:tc>
        <w:tc>
          <w:tcPr>
            <w:tcW w:w="599" w:type="pct"/>
            <w:tcBorders>
              <w:tl2br w:val="nil"/>
              <w:tr2bl w:val="nil"/>
            </w:tcBorders>
            <w:shd w:val="clear" w:color="auto" w:fill="auto"/>
            <w:noWrap w:val="0"/>
            <w:vAlign w:val="center"/>
          </w:tcPr>
          <w:p w14:paraId="26D1748B">
            <w:pPr>
              <w:keepNext w:val="0"/>
              <w:keepLines w:val="0"/>
              <w:pageBreakBefore w:val="0"/>
              <w:kinsoku/>
              <w:wordWrap/>
              <w:overflowPunct/>
              <w:topLinePunct w:val="0"/>
              <w:autoSpaceDE/>
              <w:autoSpaceDN/>
              <w:bidi w:val="0"/>
              <w:adjustRightInd/>
              <w:spacing w:line="36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同类项目业绩</w:t>
            </w:r>
          </w:p>
        </w:tc>
        <w:tc>
          <w:tcPr>
            <w:tcW w:w="3565" w:type="pct"/>
            <w:tcBorders>
              <w:tl2br w:val="nil"/>
              <w:tr2bl w:val="nil"/>
            </w:tcBorders>
            <w:shd w:val="clear" w:color="auto" w:fill="auto"/>
            <w:noWrap w:val="0"/>
            <w:vAlign w:val="center"/>
          </w:tcPr>
          <w:p w14:paraId="3CA4C967">
            <w:pPr>
              <w:keepNext w:val="0"/>
              <w:keepLines w:val="0"/>
              <w:pageBreakBefore w:val="0"/>
              <w:widowControl/>
              <w:kinsoku/>
              <w:wordWrap/>
              <w:overflowPunct/>
              <w:topLinePunct w:val="0"/>
              <w:autoSpaceDE/>
              <w:autoSpaceDN/>
              <w:bidi w:val="0"/>
              <w:adjustRightInd/>
              <w:spacing w:line="360" w:lineRule="auto"/>
              <w:jc w:val="left"/>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b w:val="0"/>
                <w:bCs w:val="0"/>
                <w:color w:val="auto"/>
                <w:kern w:val="0"/>
                <w:sz w:val="21"/>
                <w:szCs w:val="21"/>
                <w:highlight w:val="none"/>
                <w:lang w:eastAsia="zh-CN"/>
              </w:rPr>
              <w:t>投标供应商</w:t>
            </w:r>
            <w:r>
              <w:rPr>
                <w:rFonts w:hint="eastAsia" w:asciiTheme="minorEastAsia" w:hAnsiTheme="minorEastAsia" w:eastAsiaTheme="minorEastAsia" w:cstheme="minorEastAsia"/>
                <w:b w:val="0"/>
                <w:bCs w:val="0"/>
                <w:strike w:val="0"/>
                <w:dstrike w:val="0"/>
                <w:color w:val="auto"/>
                <w:kern w:val="0"/>
                <w:sz w:val="21"/>
                <w:szCs w:val="21"/>
                <w:highlight w:val="none"/>
                <w:lang w:val="en-US" w:eastAsia="zh-CN"/>
              </w:rPr>
              <w:t>承接过</w:t>
            </w:r>
            <w:r>
              <w:rPr>
                <w:rFonts w:hint="eastAsia" w:asciiTheme="minorEastAsia" w:hAnsiTheme="minorEastAsia" w:eastAsiaTheme="minorEastAsia" w:cstheme="minorEastAsia"/>
                <w:b w:val="0"/>
                <w:bCs w:val="0"/>
                <w:color w:val="auto"/>
                <w:kern w:val="0"/>
                <w:sz w:val="21"/>
                <w:szCs w:val="21"/>
                <w:highlight w:val="none"/>
              </w:rPr>
              <w:t>软件开发类项目业绩，每提供1个1分，最高得</w:t>
            </w:r>
            <w:r>
              <w:rPr>
                <w:rFonts w:hint="eastAsia" w:asciiTheme="minorEastAsia" w:hAnsiTheme="minorEastAsia" w:eastAsiaTheme="minorEastAsia" w:cstheme="minorEastAsia"/>
                <w:b w:val="0"/>
                <w:bCs w:val="0"/>
                <w:color w:val="auto"/>
                <w:kern w:val="0"/>
                <w:sz w:val="21"/>
                <w:szCs w:val="21"/>
                <w:highlight w:val="none"/>
                <w:lang w:val="en-US" w:eastAsia="zh-CN"/>
              </w:rPr>
              <w:t>3</w:t>
            </w:r>
            <w:r>
              <w:rPr>
                <w:rFonts w:hint="eastAsia" w:asciiTheme="minorEastAsia" w:hAnsiTheme="minorEastAsia" w:eastAsiaTheme="minorEastAsia" w:cstheme="minorEastAsia"/>
                <w:b w:val="0"/>
                <w:bCs w:val="0"/>
                <w:color w:val="auto"/>
                <w:kern w:val="0"/>
                <w:sz w:val="21"/>
                <w:szCs w:val="21"/>
                <w:highlight w:val="none"/>
              </w:rPr>
              <w:t>分，证明材料以合同为准。</w:t>
            </w:r>
          </w:p>
        </w:tc>
        <w:tc>
          <w:tcPr>
            <w:tcW w:w="423" w:type="pct"/>
            <w:tcBorders>
              <w:tl2br w:val="nil"/>
              <w:tr2bl w:val="nil"/>
            </w:tcBorders>
            <w:shd w:val="clear" w:color="auto" w:fill="auto"/>
            <w:noWrap w:val="0"/>
            <w:vAlign w:val="center"/>
          </w:tcPr>
          <w:p w14:paraId="4122017A">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Theme="minorEastAsia" w:hAnsiTheme="minorEastAsia" w:eastAsiaTheme="minorEastAsia" w:cstheme="minorEastAsia"/>
                <w:b w:val="0"/>
                <w:bCs w:val="0"/>
                <w:color w:val="auto"/>
                <w:kern w:val="0"/>
                <w:sz w:val="21"/>
                <w:szCs w:val="21"/>
                <w:highlight w:val="none"/>
                <w:lang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3</w:t>
            </w:r>
          </w:p>
        </w:tc>
      </w:tr>
      <w:tr w14:paraId="2A7D5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411" w:type="pct"/>
            <w:vMerge w:val="restart"/>
            <w:tcBorders>
              <w:tl2br w:val="nil"/>
              <w:tr2bl w:val="nil"/>
            </w:tcBorders>
            <w:shd w:val="clear" w:color="auto" w:fill="auto"/>
            <w:noWrap w:val="0"/>
            <w:vAlign w:val="center"/>
          </w:tcPr>
          <w:p w14:paraId="6303B9DA">
            <w:pPr>
              <w:keepNext w:val="0"/>
              <w:keepLines w:val="0"/>
              <w:pageBreakBefore w:val="0"/>
              <w:kinsoku/>
              <w:wordWrap/>
              <w:overflowPunct/>
              <w:topLinePunct w:val="0"/>
              <w:autoSpaceDE/>
              <w:autoSpaceDN/>
              <w:bidi w:val="0"/>
              <w:adjustRightInd/>
              <w:spacing w:line="360" w:lineRule="auto"/>
              <w:jc w:val="center"/>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3</w:t>
            </w:r>
          </w:p>
        </w:tc>
        <w:tc>
          <w:tcPr>
            <w:tcW w:w="599" w:type="pct"/>
            <w:vMerge w:val="restart"/>
            <w:tcBorders>
              <w:tl2br w:val="nil"/>
              <w:tr2bl w:val="nil"/>
            </w:tcBorders>
            <w:shd w:val="clear" w:color="auto" w:fill="auto"/>
            <w:noWrap w:val="0"/>
            <w:vAlign w:val="center"/>
          </w:tcPr>
          <w:p w14:paraId="368DAAA3">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b w:val="0"/>
                <w:bCs w:val="0"/>
                <w:color w:val="auto"/>
                <w:kern w:val="0"/>
                <w:sz w:val="21"/>
                <w:szCs w:val="21"/>
                <w:highlight w:val="none"/>
                <w:lang w:bidi="ar"/>
              </w:rPr>
              <w:t>技术方案</w:t>
            </w:r>
          </w:p>
        </w:tc>
        <w:tc>
          <w:tcPr>
            <w:tcW w:w="3565" w:type="pct"/>
            <w:tcBorders>
              <w:tl2br w:val="nil"/>
              <w:tr2bl w:val="nil"/>
            </w:tcBorders>
            <w:shd w:val="clear" w:color="auto" w:fill="auto"/>
            <w:noWrap w:val="0"/>
            <w:vAlign w:val="center"/>
          </w:tcPr>
          <w:p w14:paraId="4FBFAFCD">
            <w:pPr>
              <w:pStyle w:val="63"/>
              <w:keepNext w:val="0"/>
              <w:keepLines w:val="0"/>
              <w:pageBreakBefore w:val="0"/>
              <w:kinsoku/>
              <w:wordWrap/>
              <w:overflowPunct/>
              <w:topLinePunct w:val="0"/>
              <w:autoSpaceDE/>
              <w:autoSpaceDN/>
              <w:bidi w:val="0"/>
              <w:adjustRightInd/>
              <w:snapToGrid w:val="0"/>
              <w:spacing w:line="360" w:lineRule="auto"/>
              <w:ind w:firstLine="0" w:firstLineChars="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总体设计：系统总体设计的可靠性、可维护性、可扩展性的综合评价，从有利于项目执行角度进行评分。</w:t>
            </w:r>
          </w:p>
          <w:p w14:paraId="68E3669E">
            <w:pPr>
              <w:pStyle w:val="63"/>
              <w:keepNext w:val="0"/>
              <w:keepLines w:val="0"/>
              <w:pageBreakBefore w:val="0"/>
              <w:kinsoku/>
              <w:wordWrap/>
              <w:overflowPunct/>
              <w:topLinePunct w:val="0"/>
              <w:autoSpaceDE/>
              <w:autoSpaceDN/>
              <w:bidi w:val="0"/>
              <w:adjustRightInd/>
              <w:snapToGrid w:val="0"/>
              <w:spacing w:line="360" w:lineRule="auto"/>
              <w:ind w:firstLine="0" w:firstLineChars="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① 设计全面、合理，具有可实施性的得 </w:t>
            </w: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rPr>
              <w:t xml:space="preserve"> 分；</w:t>
            </w:r>
          </w:p>
          <w:p w14:paraId="47DFCA7E">
            <w:pPr>
              <w:pStyle w:val="63"/>
              <w:keepNext w:val="0"/>
              <w:keepLines w:val="0"/>
              <w:pageBreakBefore w:val="0"/>
              <w:kinsoku/>
              <w:wordWrap/>
              <w:overflowPunct/>
              <w:topLinePunct w:val="0"/>
              <w:autoSpaceDE/>
              <w:autoSpaceDN/>
              <w:bidi w:val="0"/>
              <w:adjustRightInd/>
              <w:snapToGrid w:val="0"/>
              <w:spacing w:line="360" w:lineRule="auto"/>
              <w:ind w:firstLine="0" w:firstLineChars="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② 设计基本全面、合理，具有可实施性的得 </w:t>
            </w: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rPr>
              <w:t xml:space="preserve"> 分；</w:t>
            </w:r>
          </w:p>
          <w:p w14:paraId="6666A5B6">
            <w:pPr>
              <w:pStyle w:val="63"/>
              <w:keepNext w:val="0"/>
              <w:keepLines w:val="0"/>
              <w:pageBreakBefore w:val="0"/>
              <w:kinsoku/>
              <w:wordWrap/>
              <w:overflowPunct/>
              <w:topLinePunct w:val="0"/>
              <w:autoSpaceDE/>
              <w:autoSpaceDN/>
              <w:bidi w:val="0"/>
              <w:adjustRightInd/>
              <w:snapToGrid w:val="0"/>
              <w:spacing w:line="360" w:lineRule="auto"/>
              <w:ind w:firstLine="0" w:firstLineChars="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③ 设计存在不合理的得 1 分。</w:t>
            </w:r>
          </w:p>
          <w:p w14:paraId="6D6A4C12">
            <w:pPr>
              <w:pStyle w:val="63"/>
              <w:keepNext w:val="0"/>
              <w:keepLines w:val="0"/>
              <w:pageBreakBefore w:val="0"/>
              <w:kinsoku/>
              <w:wordWrap/>
              <w:overflowPunct/>
              <w:topLinePunct w:val="0"/>
              <w:autoSpaceDE/>
              <w:autoSpaceDN/>
              <w:bidi w:val="0"/>
              <w:adjustRightInd/>
              <w:snapToGrid w:val="0"/>
              <w:spacing w:line="360" w:lineRule="auto"/>
              <w:ind w:firstLine="0" w:firstLineChars="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rPr>
              <w:t>④ 未提供设计或设计完全不符合项目需求的不得分。</w:t>
            </w:r>
          </w:p>
        </w:tc>
        <w:tc>
          <w:tcPr>
            <w:tcW w:w="423" w:type="pct"/>
            <w:tcBorders>
              <w:tl2br w:val="nil"/>
              <w:tr2bl w:val="nil"/>
            </w:tcBorders>
            <w:shd w:val="clear" w:color="auto" w:fill="auto"/>
            <w:noWrap w:val="0"/>
            <w:vAlign w:val="center"/>
          </w:tcPr>
          <w:p w14:paraId="7B187BF7">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Theme="minorEastAsia" w:hAnsiTheme="minorEastAsia" w:eastAsiaTheme="minorEastAsia" w:cstheme="minorEastAsia"/>
                <w:b w:val="0"/>
                <w:bCs w:val="0"/>
                <w:color w:val="auto"/>
                <w:kern w:val="0"/>
                <w:sz w:val="21"/>
                <w:szCs w:val="21"/>
                <w:highlight w:val="none"/>
                <w:lang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4</w:t>
            </w:r>
          </w:p>
        </w:tc>
      </w:tr>
      <w:tr w14:paraId="078B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1" w:hRule="atLeast"/>
          <w:jc w:val="center"/>
        </w:trPr>
        <w:tc>
          <w:tcPr>
            <w:tcW w:w="411" w:type="pct"/>
            <w:vMerge w:val="continue"/>
            <w:tcBorders>
              <w:tl2br w:val="nil"/>
              <w:tr2bl w:val="nil"/>
            </w:tcBorders>
            <w:shd w:val="clear" w:color="auto" w:fill="auto"/>
            <w:noWrap w:val="0"/>
            <w:vAlign w:val="center"/>
          </w:tcPr>
          <w:p w14:paraId="1E84E1C4">
            <w:pPr>
              <w:keepNext w:val="0"/>
              <w:keepLines w:val="0"/>
              <w:pageBreakBefore w:val="0"/>
              <w:kinsoku/>
              <w:wordWrap/>
              <w:overflowPunct/>
              <w:topLinePunct w:val="0"/>
              <w:autoSpaceDE/>
              <w:autoSpaceDN/>
              <w:bidi w:val="0"/>
              <w:adjustRightInd/>
              <w:spacing w:line="360" w:lineRule="auto"/>
              <w:jc w:val="center"/>
              <w:rPr>
                <w:rFonts w:hint="eastAsia" w:asciiTheme="minorEastAsia" w:hAnsiTheme="minorEastAsia" w:eastAsiaTheme="minorEastAsia" w:cstheme="minorEastAsia"/>
                <w:b w:val="0"/>
                <w:bCs w:val="0"/>
                <w:color w:val="auto"/>
                <w:sz w:val="21"/>
                <w:szCs w:val="21"/>
                <w:highlight w:val="none"/>
              </w:rPr>
            </w:pPr>
          </w:p>
        </w:tc>
        <w:tc>
          <w:tcPr>
            <w:tcW w:w="599" w:type="pct"/>
            <w:vMerge w:val="continue"/>
            <w:tcBorders>
              <w:tl2br w:val="nil"/>
              <w:tr2bl w:val="nil"/>
            </w:tcBorders>
            <w:shd w:val="clear" w:color="auto" w:fill="auto"/>
            <w:noWrap w:val="0"/>
            <w:vAlign w:val="center"/>
          </w:tcPr>
          <w:p w14:paraId="48C6EC5C">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p>
        </w:tc>
        <w:tc>
          <w:tcPr>
            <w:tcW w:w="3565" w:type="pct"/>
            <w:tcBorders>
              <w:tl2br w:val="nil"/>
              <w:tr2bl w:val="nil"/>
            </w:tcBorders>
            <w:shd w:val="clear" w:color="auto" w:fill="auto"/>
            <w:noWrap w:val="0"/>
            <w:vAlign w:val="center"/>
          </w:tcPr>
          <w:p w14:paraId="37C6F69C">
            <w:pPr>
              <w:pStyle w:val="63"/>
              <w:keepNext w:val="0"/>
              <w:keepLines w:val="0"/>
              <w:pageBreakBefore w:val="0"/>
              <w:kinsoku/>
              <w:wordWrap/>
              <w:overflowPunct/>
              <w:topLinePunct w:val="0"/>
              <w:autoSpaceDE/>
              <w:autoSpaceDN/>
              <w:bidi w:val="0"/>
              <w:adjustRightInd/>
              <w:snapToGrid w:val="0"/>
              <w:spacing w:line="360" w:lineRule="auto"/>
              <w:ind w:firstLine="0" w:firstLineChars="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软件的体系结构：整个软件系统的体系结构</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核心业务功能设计</w:t>
            </w:r>
            <w:r>
              <w:rPr>
                <w:rFonts w:hint="eastAsia" w:asciiTheme="minorEastAsia" w:hAnsiTheme="minorEastAsia" w:eastAsiaTheme="minorEastAsia" w:cstheme="minorEastAsia"/>
                <w:b w:val="0"/>
                <w:bCs w:val="0"/>
                <w:color w:val="auto"/>
                <w:sz w:val="21"/>
                <w:szCs w:val="21"/>
                <w:highlight w:val="none"/>
              </w:rPr>
              <w:t>合理、实用、保证数据传输的实时性要求，从有利于项目执行角度进行评分。</w:t>
            </w:r>
          </w:p>
          <w:p w14:paraId="3B48BD91">
            <w:pPr>
              <w:pStyle w:val="63"/>
              <w:keepNext w:val="0"/>
              <w:keepLines w:val="0"/>
              <w:pageBreakBefore w:val="0"/>
              <w:kinsoku/>
              <w:wordWrap/>
              <w:overflowPunct/>
              <w:topLinePunct w:val="0"/>
              <w:autoSpaceDE/>
              <w:autoSpaceDN/>
              <w:bidi w:val="0"/>
              <w:adjustRightInd/>
              <w:snapToGrid w:val="0"/>
              <w:spacing w:line="360" w:lineRule="auto"/>
              <w:ind w:firstLine="0" w:firstLineChars="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① 结构全面、合理，具有可实施性的得 </w:t>
            </w: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rPr>
              <w:t>分；</w:t>
            </w:r>
          </w:p>
          <w:p w14:paraId="57B024F5">
            <w:pPr>
              <w:pStyle w:val="63"/>
              <w:keepNext w:val="0"/>
              <w:keepLines w:val="0"/>
              <w:pageBreakBefore w:val="0"/>
              <w:kinsoku/>
              <w:wordWrap/>
              <w:overflowPunct/>
              <w:topLinePunct w:val="0"/>
              <w:autoSpaceDE/>
              <w:autoSpaceDN/>
              <w:bidi w:val="0"/>
              <w:adjustRightInd/>
              <w:snapToGrid w:val="0"/>
              <w:spacing w:line="360" w:lineRule="auto"/>
              <w:ind w:firstLine="0" w:firstLineChars="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② 结构基本全面、合理，具有可实施性的得 </w:t>
            </w: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rPr>
              <w:t xml:space="preserve"> 分；</w:t>
            </w:r>
          </w:p>
          <w:p w14:paraId="3E36571A">
            <w:pPr>
              <w:pStyle w:val="63"/>
              <w:keepNext w:val="0"/>
              <w:keepLines w:val="0"/>
              <w:pageBreakBefore w:val="0"/>
              <w:kinsoku/>
              <w:wordWrap/>
              <w:overflowPunct/>
              <w:topLinePunct w:val="0"/>
              <w:autoSpaceDE/>
              <w:autoSpaceDN/>
              <w:bidi w:val="0"/>
              <w:adjustRightInd/>
              <w:snapToGrid w:val="0"/>
              <w:spacing w:line="360" w:lineRule="auto"/>
              <w:ind w:firstLine="0" w:firstLineChars="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③ 结构存在不合理的得 1 分。</w:t>
            </w:r>
          </w:p>
          <w:p w14:paraId="2D1B4FBD">
            <w:pPr>
              <w:pStyle w:val="63"/>
              <w:keepNext w:val="0"/>
              <w:keepLines w:val="0"/>
              <w:pageBreakBefore w:val="0"/>
              <w:kinsoku/>
              <w:wordWrap/>
              <w:overflowPunct/>
              <w:topLinePunct w:val="0"/>
              <w:autoSpaceDE/>
              <w:autoSpaceDN/>
              <w:bidi w:val="0"/>
              <w:adjustRightInd/>
              <w:snapToGrid w:val="0"/>
              <w:spacing w:line="360" w:lineRule="auto"/>
              <w:ind w:firstLine="0" w:firstLineChars="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④ 未提供结构或结构完全不符合项目需求的不得分。</w:t>
            </w:r>
          </w:p>
        </w:tc>
        <w:tc>
          <w:tcPr>
            <w:tcW w:w="423" w:type="pct"/>
            <w:tcBorders>
              <w:tl2br w:val="nil"/>
              <w:tr2bl w:val="nil"/>
            </w:tcBorders>
            <w:shd w:val="clear" w:color="auto" w:fill="auto"/>
            <w:noWrap w:val="0"/>
            <w:vAlign w:val="center"/>
          </w:tcPr>
          <w:p w14:paraId="4248215B">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Theme="minorEastAsia" w:hAnsiTheme="minorEastAsia" w:eastAsiaTheme="minorEastAsia" w:cstheme="minorEastAsia"/>
                <w:b w:val="0"/>
                <w:bCs w:val="0"/>
                <w:color w:val="auto"/>
                <w:kern w:val="0"/>
                <w:sz w:val="21"/>
                <w:szCs w:val="21"/>
                <w:highlight w:val="none"/>
                <w:lang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4</w:t>
            </w:r>
          </w:p>
        </w:tc>
      </w:tr>
      <w:tr w14:paraId="06A77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411" w:type="pct"/>
            <w:vMerge w:val="continue"/>
            <w:tcBorders>
              <w:tl2br w:val="nil"/>
              <w:tr2bl w:val="nil"/>
            </w:tcBorders>
            <w:shd w:val="clear" w:color="auto" w:fill="auto"/>
            <w:noWrap w:val="0"/>
            <w:vAlign w:val="center"/>
          </w:tcPr>
          <w:p w14:paraId="57D3F835">
            <w:pPr>
              <w:keepNext w:val="0"/>
              <w:keepLines w:val="0"/>
              <w:pageBreakBefore w:val="0"/>
              <w:kinsoku/>
              <w:wordWrap/>
              <w:overflowPunct/>
              <w:topLinePunct w:val="0"/>
              <w:autoSpaceDE/>
              <w:autoSpaceDN/>
              <w:bidi w:val="0"/>
              <w:adjustRightInd/>
              <w:spacing w:line="360" w:lineRule="auto"/>
              <w:jc w:val="center"/>
              <w:rPr>
                <w:rFonts w:hint="eastAsia" w:asciiTheme="minorEastAsia" w:hAnsiTheme="minorEastAsia" w:eastAsiaTheme="minorEastAsia" w:cstheme="minorEastAsia"/>
                <w:b w:val="0"/>
                <w:bCs w:val="0"/>
                <w:color w:val="auto"/>
                <w:sz w:val="21"/>
                <w:szCs w:val="21"/>
                <w:highlight w:val="none"/>
              </w:rPr>
            </w:pPr>
          </w:p>
        </w:tc>
        <w:tc>
          <w:tcPr>
            <w:tcW w:w="599" w:type="pct"/>
            <w:vMerge w:val="continue"/>
            <w:tcBorders>
              <w:tl2br w:val="nil"/>
              <w:tr2bl w:val="nil"/>
            </w:tcBorders>
            <w:shd w:val="clear" w:color="auto" w:fill="auto"/>
            <w:noWrap w:val="0"/>
            <w:vAlign w:val="center"/>
          </w:tcPr>
          <w:p w14:paraId="57EC65C2">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p>
        </w:tc>
        <w:tc>
          <w:tcPr>
            <w:tcW w:w="3565" w:type="pct"/>
            <w:tcBorders>
              <w:tl2br w:val="nil"/>
              <w:tr2bl w:val="nil"/>
            </w:tcBorders>
            <w:shd w:val="clear" w:color="auto" w:fill="auto"/>
            <w:noWrap w:val="0"/>
            <w:vAlign w:val="center"/>
          </w:tcPr>
          <w:p w14:paraId="2561110C">
            <w:pPr>
              <w:pStyle w:val="63"/>
              <w:keepNext w:val="0"/>
              <w:keepLines w:val="0"/>
              <w:pageBreakBefore w:val="0"/>
              <w:kinsoku/>
              <w:wordWrap/>
              <w:overflowPunct/>
              <w:topLinePunct w:val="0"/>
              <w:autoSpaceDE/>
              <w:autoSpaceDN/>
              <w:bidi w:val="0"/>
              <w:adjustRightInd/>
              <w:snapToGrid w:val="0"/>
              <w:spacing w:line="360" w:lineRule="auto"/>
              <w:ind w:firstLine="0" w:firstLineChars="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系统安全：提供完善、合理、可操作性强的系统安全解决方案，从有利于项目执行角度进行评分。</w:t>
            </w:r>
          </w:p>
          <w:p w14:paraId="1F7DB09D">
            <w:pPr>
              <w:pStyle w:val="63"/>
              <w:keepNext w:val="0"/>
              <w:keepLines w:val="0"/>
              <w:pageBreakBefore w:val="0"/>
              <w:kinsoku/>
              <w:wordWrap/>
              <w:overflowPunct/>
              <w:topLinePunct w:val="0"/>
              <w:autoSpaceDE/>
              <w:autoSpaceDN/>
              <w:bidi w:val="0"/>
              <w:adjustRightInd/>
              <w:snapToGrid w:val="0"/>
              <w:spacing w:line="360" w:lineRule="auto"/>
              <w:ind w:firstLine="0" w:firstLineChars="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① 方案全面、合理，具有可实施性的得 </w:t>
            </w: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rPr>
              <w:t xml:space="preserve"> 分；</w:t>
            </w:r>
          </w:p>
          <w:p w14:paraId="3EF4CE6D">
            <w:pPr>
              <w:pStyle w:val="63"/>
              <w:keepNext w:val="0"/>
              <w:keepLines w:val="0"/>
              <w:pageBreakBefore w:val="0"/>
              <w:kinsoku/>
              <w:wordWrap/>
              <w:overflowPunct/>
              <w:topLinePunct w:val="0"/>
              <w:autoSpaceDE/>
              <w:autoSpaceDN/>
              <w:bidi w:val="0"/>
              <w:adjustRightInd/>
              <w:snapToGrid w:val="0"/>
              <w:spacing w:line="360" w:lineRule="auto"/>
              <w:ind w:firstLine="0" w:firstLineChars="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② 方案基本全面、合理，具有可实施性的得 </w:t>
            </w: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rPr>
              <w:t>分；</w:t>
            </w:r>
          </w:p>
          <w:p w14:paraId="6FE14764">
            <w:pPr>
              <w:pStyle w:val="63"/>
              <w:keepNext w:val="0"/>
              <w:keepLines w:val="0"/>
              <w:pageBreakBefore w:val="0"/>
              <w:kinsoku/>
              <w:wordWrap/>
              <w:overflowPunct/>
              <w:topLinePunct w:val="0"/>
              <w:autoSpaceDE/>
              <w:autoSpaceDN/>
              <w:bidi w:val="0"/>
              <w:adjustRightInd/>
              <w:snapToGrid w:val="0"/>
              <w:spacing w:line="360" w:lineRule="auto"/>
              <w:ind w:firstLine="0" w:firstLineChars="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③ 方案存在不合理的得 1 分。</w:t>
            </w:r>
          </w:p>
          <w:p w14:paraId="5C4D93AC">
            <w:pPr>
              <w:pStyle w:val="63"/>
              <w:keepNext w:val="0"/>
              <w:keepLines w:val="0"/>
              <w:pageBreakBefore w:val="0"/>
              <w:kinsoku/>
              <w:wordWrap/>
              <w:overflowPunct/>
              <w:topLinePunct w:val="0"/>
              <w:autoSpaceDE/>
              <w:autoSpaceDN/>
              <w:bidi w:val="0"/>
              <w:adjustRightInd/>
              <w:snapToGrid w:val="0"/>
              <w:spacing w:line="360" w:lineRule="auto"/>
              <w:ind w:firstLine="0" w:firstLineChars="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④ 未提供方案或方案完全不符合项目需求的不得分。</w:t>
            </w:r>
          </w:p>
        </w:tc>
        <w:tc>
          <w:tcPr>
            <w:tcW w:w="423" w:type="pct"/>
            <w:tcBorders>
              <w:tl2br w:val="nil"/>
              <w:tr2bl w:val="nil"/>
            </w:tcBorders>
            <w:shd w:val="clear" w:color="auto" w:fill="auto"/>
            <w:noWrap w:val="0"/>
            <w:vAlign w:val="center"/>
          </w:tcPr>
          <w:p w14:paraId="1236726E">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4</w:t>
            </w:r>
          </w:p>
        </w:tc>
      </w:tr>
      <w:tr w14:paraId="3FC9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7" w:hRule="atLeast"/>
          <w:jc w:val="center"/>
        </w:trPr>
        <w:tc>
          <w:tcPr>
            <w:tcW w:w="411" w:type="pct"/>
            <w:vMerge w:val="continue"/>
            <w:tcBorders>
              <w:tl2br w:val="nil"/>
              <w:tr2bl w:val="nil"/>
            </w:tcBorders>
            <w:shd w:val="clear" w:color="auto" w:fill="auto"/>
            <w:noWrap w:val="0"/>
            <w:vAlign w:val="center"/>
          </w:tcPr>
          <w:p w14:paraId="41653D0A">
            <w:pPr>
              <w:keepNext w:val="0"/>
              <w:keepLines w:val="0"/>
              <w:pageBreakBefore w:val="0"/>
              <w:kinsoku/>
              <w:wordWrap/>
              <w:overflowPunct/>
              <w:topLinePunct w:val="0"/>
              <w:autoSpaceDE/>
              <w:autoSpaceDN/>
              <w:bidi w:val="0"/>
              <w:adjustRightInd/>
              <w:spacing w:line="360" w:lineRule="auto"/>
              <w:jc w:val="center"/>
              <w:rPr>
                <w:rFonts w:hint="eastAsia" w:asciiTheme="minorEastAsia" w:hAnsiTheme="minorEastAsia" w:eastAsiaTheme="minorEastAsia" w:cstheme="minorEastAsia"/>
                <w:b w:val="0"/>
                <w:bCs w:val="0"/>
                <w:color w:val="auto"/>
                <w:sz w:val="21"/>
                <w:szCs w:val="21"/>
                <w:highlight w:val="none"/>
              </w:rPr>
            </w:pPr>
          </w:p>
        </w:tc>
        <w:tc>
          <w:tcPr>
            <w:tcW w:w="599" w:type="pct"/>
            <w:vMerge w:val="continue"/>
            <w:tcBorders>
              <w:tl2br w:val="nil"/>
              <w:tr2bl w:val="nil"/>
            </w:tcBorders>
            <w:shd w:val="clear" w:color="auto" w:fill="auto"/>
            <w:noWrap w:val="0"/>
            <w:vAlign w:val="center"/>
          </w:tcPr>
          <w:p w14:paraId="6E487A30">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p>
        </w:tc>
        <w:tc>
          <w:tcPr>
            <w:tcW w:w="3565" w:type="pct"/>
            <w:tcBorders>
              <w:tl2br w:val="nil"/>
              <w:tr2bl w:val="nil"/>
            </w:tcBorders>
            <w:shd w:val="clear" w:color="auto" w:fill="auto"/>
            <w:noWrap w:val="0"/>
            <w:vAlign w:val="center"/>
          </w:tcPr>
          <w:p w14:paraId="34EF57C9">
            <w:pPr>
              <w:pStyle w:val="63"/>
              <w:keepNext w:val="0"/>
              <w:keepLines w:val="0"/>
              <w:pageBreakBefore w:val="0"/>
              <w:kinsoku/>
              <w:wordWrap/>
              <w:overflowPunct/>
              <w:topLinePunct w:val="0"/>
              <w:autoSpaceDE/>
              <w:autoSpaceDN/>
              <w:bidi w:val="0"/>
              <w:adjustRightInd/>
              <w:snapToGrid w:val="0"/>
              <w:spacing w:line="360" w:lineRule="auto"/>
              <w:ind w:firstLine="0" w:firstLineChars="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合理建议：对重点、难点技术环节有先进、合理的建议，是否具有先进性、科学性、扩展性和安全性， 解决方案是否完整、经济、安全、切实可行、措施得力，从有利于项目执行角度进行评分。</w:t>
            </w:r>
          </w:p>
          <w:p w14:paraId="11DA90DB">
            <w:pPr>
              <w:pStyle w:val="63"/>
              <w:keepNext w:val="0"/>
              <w:keepLines w:val="0"/>
              <w:pageBreakBefore w:val="0"/>
              <w:kinsoku/>
              <w:wordWrap/>
              <w:overflowPunct/>
              <w:topLinePunct w:val="0"/>
              <w:autoSpaceDE/>
              <w:autoSpaceDN/>
              <w:bidi w:val="0"/>
              <w:adjustRightInd/>
              <w:snapToGrid w:val="0"/>
              <w:spacing w:line="360" w:lineRule="auto"/>
              <w:ind w:firstLine="0" w:firstLineChars="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① 方案全面、合理，具有可实施性的得 </w:t>
            </w: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rPr>
              <w:t xml:space="preserve"> 分；</w:t>
            </w:r>
          </w:p>
          <w:p w14:paraId="4277D070">
            <w:pPr>
              <w:pStyle w:val="63"/>
              <w:keepNext w:val="0"/>
              <w:keepLines w:val="0"/>
              <w:pageBreakBefore w:val="0"/>
              <w:kinsoku/>
              <w:wordWrap/>
              <w:overflowPunct/>
              <w:topLinePunct w:val="0"/>
              <w:autoSpaceDE/>
              <w:autoSpaceDN/>
              <w:bidi w:val="0"/>
              <w:adjustRightInd/>
              <w:snapToGrid w:val="0"/>
              <w:spacing w:line="360" w:lineRule="auto"/>
              <w:ind w:firstLine="0" w:firstLineChars="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② 方案基本全面、合理，具有可实施性的得 </w:t>
            </w: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rPr>
              <w:t xml:space="preserve"> 分；</w:t>
            </w:r>
          </w:p>
          <w:p w14:paraId="5B873A5D">
            <w:pPr>
              <w:pStyle w:val="63"/>
              <w:keepNext w:val="0"/>
              <w:keepLines w:val="0"/>
              <w:pageBreakBefore w:val="0"/>
              <w:kinsoku/>
              <w:wordWrap/>
              <w:overflowPunct/>
              <w:topLinePunct w:val="0"/>
              <w:autoSpaceDE/>
              <w:autoSpaceDN/>
              <w:bidi w:val="0"/>
              <w:adjustRightInd/>
              <w:snapToGrid w:val="0"/>
              <w:spacing w:line="360" w:lineRule="auto"/>
              <w:ind w:firstLine="0" w:firstLineChars="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③ 方案存在不合理的得 1 分。</w:t>
            </w:r>
          </w:p>
          <w:p w14:paraId="0B14F798">
            <w:pPr>
              <w:pStyle w:val="63"/>
              <w:keepNext w:val="0"/>
              <w:keepLines w:val="0"/>
              <w:pageBreakBefore w:val="0"/>
              <w:kinsoku/>
              <w:wordWrap/>
              <w:overflowPunct/>
              <w:topLinePunct w:val="0"/>
              <w:autoSpaceDE/>
              <w:autoSpaceDN/>
              <w:bidi w:val="0"/>
              <w:adjustRightInd/>
              <w:snapToGrid w:val="0"/>
              <w:spacing w:line="360" w:lineRule="auto"/>
              <w:ind w:firstLine="0" w:firstLineChars="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④ 未提供方案或方案完全不符合项目需求的不得分。</w:t>
            </w:r>
          </w:p>
        </w:tc>
        <w:tc>
          <w:tcPr>
            <w:tcW w:w="423" w:type="pct"/>
            <w:tcBorders>
              <w:tl2br w:val="nil"/>
              <w:tr2bl w:val="nil"/>
            </w:tcBorders>
            <w:shd w:val="clear" w:color="auto" w:fill="auto"/>
            <w:noWrap w:val="0"/>
            <w:vAlign w:val="center"/>
          </w:tcPr>
          <w:p w14:paraId="0B392012">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4</w:t>
            </w:r>
          </w:p>
        </w:tc>
      </w:tr>
      <w:tr w14:paraId="4AF17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23" w:hRule="atLeast"/>
          <w:jc w:val="center"/>
        </w:trPr>
        <w:tc>
          <w:tcPr>
            <w:tcW w:w="411" w:type="pct"/>
            <w:tcBorders>
              <w:tl2br w:val="nil"/>
              <w:tr2bl w:val="nil"/>
            </w:tcBorders>
            <w:shd w:val="clear" w:color="auto" w:fill="auto"/>
            <w:noWrap w:val="0"/>
            <w:vAlign w:val="center"/>
          </w:tcPr>
          <w:p w14:paraId="18D433F5">
            <w:pPr>
              <w:keepNext w:val="0"/>
              <w:keepLines w:val="0"/>
              <w:pageBreakBefore w:val="0"/>
              <w:kinsoku/>
              <w:wordWrap/>
              <w:overflowPunct/>
              <w:topLinePunct w:val="0"/>
              <w:autoSpaceDE/>
              <w:autoSpaceDN/>
              <w:bidi w:val="0"/>
              <w:adjustRightInd/>
              <w:spacing w:line="360" w:lineRule="auto"/>
              <w:jc w:val="center"/>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4</w:t>
            </w:r>
          </w:p>
        </w:tc>
        <w:tc>
          <w:tcPr>
            <w:tcW w:w="599" w:type="pct"/>
            <w:tcBorders>
              <w:tl2br w:val="nil"/>
              <w:tr2bl w:val="nil"/>
            </w:tcBorders>
            <w:shd w:val="clear" w:color="auto" w:fill="auto"/>
            <w:noWrap w:val="0"/>
            <w:vAlign w:val="center"/>
          </w:tcPr>
          <w:p w14:paraId="7B4BC781">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实施方案</w:t>
            </w:r>
          </w:p>
        </w:tc>
        <w:tc>
          <w:tcPr>
            <w:tcW w:w="3565" w:type="pct"/>
            <w:tcBorders>
              <w:tl2br w:val="nil"/>
              <w:tr2bl w:val="nil"/>
            </w:tcBorders>
            <w:shd w:val="clear" w:color="auto" w:fill="auto"/>
            <w:noWrap w:val="0"/>
            <w:vAlign w:val="center"/>
          </w:tcPr>
          <w:p w14:paraId="74CAFA8C">
            <w:pPr>
              <w:pStyle w:val="63"/>
              <w:keepNext w:val="0"/>
              <w:keepLines w:val="0"/>
              <w:pageBreakBefore w:val="0"/>
              <w:kinsoku/>
              <w:wordWrap/>
              <w:overflowPunct/>
              <w:topLinePunct w:val="0"/>
              <w:autoSpaceDE/>
              <w:autoSpaceDN/>
              <w:bidi w:val="0"/>
              <w:adjustRightInd/>
              <w:snapToGrid w:val="0"/>
              <w:spacing w:line="360" w:lineRule="auto"/>
              <w:ind w:firstLine="0" w:firstLineChars="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根据</w:t>
            </w:r>
            <w:r>
              <w:rPr>
                <w:rFonts w:hint="eastAsia" w:asciiTheme="minorEastAsia" w:hAnsiTheme="minorEastAsia" w:eastAsiaTheme="minorEastAsia" w:cstheme="minorEastAsia"/>
                <w:b w:val="0"/>
                <w:bCs w:val="0"/>
                <w:color w:val="auto"/>
                <w:sz w:val="21"/>
                <w:szCs w:val="21"/>
                <w:highlight w:val="none"/>
                <w:lang w:eastAsia="zh-CN"/>
              </w:rPr>
              <w:t>投标供应商</w:t>
            </w:r>
            <w:r>
              <w:rPr>
                <w:rFonts w:hint="eastAsia" w:asciiTheme="minorEastAsia" w:hAnsiTheme="minorEastAsia" w:eastAsiaTheme="minorEastAsia" w:cstheme="minorEastAsia"/>
                <w:b w:val="0"/>
                <w:bCs w:val="0"/>
                <w:color w:val="auto"/>
                <w:sz w:val="21"/>
                <w:szCs w:val="21"/>
                <w:highlight w:val="none"/>
              </w:rPr>
              <w:t>提出的项目实施计划、安全保证措施、质量保证措施、进度保证措施等,进行综合评分。</w:t>
            </w:r>
          </w:p>
          <w:p w14:paraId="3A54E479">
            <w:pPr>
              <w:pStyle w:val="63"/>
              <w:keepNext w:val="0"/>
              <w:keepLines w:val="0"/>
              <w:pageBreakBefore w:val="0"/>
              <w:kinsoku/>
              <w:wordWrap/>
              <w:overflowPunct/>
              <w:topLinePunct w:val="0"/>
              <w:autoSpaceDE/>
              <w:autoSpaceDN/>
              <w:bidi w:val="0"/>
              <w:adjustRightInd/>
              <w:snapToGrid w:val="0"/>
              <w:spacing w:line="360" w:lineRule="auto"/>
              <w:ind w:firstLine="0" w:firstLineChars="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① 方案全面、合理，具有可实施性的得 </w:t>
            </w: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rPr>
              <w:t xml:space="preserve"> 分；</w:t>
            </w:r>
          </w:p>
          <w:p w14:paraId="3A7A137D">
            <w:pPr>
              <w:pStyle w:val="63"/>
              <w:keepNext w:val="0"/>
              <w:keepLines w:val="0"/>
              <w:pageBreakBefore w:val="0"/>
              <w:kinsoku/>
              <w:wordWrap/>
              <w:overflowPunct/>
              <w:topLinePunct w:val="0"/>
              <w:autoSpaceDE/>
              <w:autoSpaceDN/>
              <w:bidi w:val="0"/>
              <w:adjustRightInd/>
              <w:snapToGrid w:val="0"/>
              <w:spacing w:line="360" w:lineRule="auto"/>
              <w:ind w:firstLine="0" w:firstLineChars="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② 方案基本全面、合理，具有可实施性的得 </w:t>
            </w: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rPr>
              <w:t xml:space="preserve"> 分；</w:t>
            </w:r>
          </w:p>
          <w:p w14:paraId="6C83A33D">
            <w:pPr>
              <w:pStyle w:val="63"/>
              <w:keepNext w:val="0"/>
              <w:keepLines w:val="0"/>
              <w:pageBreakBefore w:val="0"/>
              <w:kinsoku/>
              <w:wordWrap/>
              <w:overflowPunct/>
              <w:topLinePunct w:val="0"/>
              <w:autoSpaceDE/>
              <w:autoSpaceDN/>
              <w:bidi w:val="0"/>
              <w:adjustRightInd/>
              <w:snapToGrid w:val="0"/>
              <w:spacing w:line="360" w:lineRule="auto"/>
              <w:ind w:firstLine="0" w:firstLineChars="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③ 方案存在不合理的得 1 分。</w:t>
            </w:r>
          </w:p>
          <w:p w14:paraId="4A52D697">
            <w:pPr>
              <w:pStyle w:val="63"/>
              <w:keepNext w:val="0"/>
              <w:keepLines w:val="0"/>
              <w:pageBreakBefore w:val="0"/>
              <w:kinsoku/>
              <w:wordWrap/>
              <w:overflowPunct/>
              <w:topLinePunct w:val="0"/>
              <w:autoSpaceDE/>
              <w:autoSpaceDN/>
              <w:bidi w:val="0"/>
              <w:adjustRightInd/>
              <w:snapToGrid w:val="0"/>
              <w:spacing w:line="360" w:lineRule="auto"/>
              <w:ind w:firstLine="0" w:firstLineChars="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④ 未提供方案或方案完全不符合项目需求的不得分。</w:t>
            </w:r>
          </w:p>
        </w:tc>
        <w:tc>
          <w:tcPr>
            <w:tcW w:w="423" w:type="pct"/>
            <w:tcBorders>
              <w:tl2br w:val="nil"/>
              <w:tr2bl w:val="nil"/>
            </w:tcBorders>
            <w:shd w:val="clear" w:color="auto" w:fill="auto"/>
            <w:noWrap w:val="0"/>
            <w:vAlign w:val="center"/>
          </w:tcPr>
          <w:p w14:paraId="5C3D7C6B">
            <w:pPr>
              <w:keepNext w:val="0"/>
              <w:keepLines w:val="0"/>
              <w:pageBreakBefore w:val="0"/>
              <w:widowControl/>
              <w:kinsoku/>
              <w:wordWrap/>
              <w:overflowPunct/>
              <w:topLinePunct w:val="0"/>
              <w:autoSpaceDE/>
              <w:autoSpaceDN/>
              <w:bidi w:val="0"/>
              <w:adjustRightInd/>
              <w:spacing w:line="360" w:lineRule="auto"/>
              <w:jc w:val="center"/>
              <w:textAlignment w:val="center"/>
              <w:rPr>
                <w:rFonts w:hint="default" w:asciiTheme="minorEastAsia" w:hAnsiTheme="minorEastAsia" w:eastAsiaTheme="minorEastAsia" w:cstheme="minorEastAsia"/>
                <w:b w:val="0"/>
                <w:bCs w:val="0"/>
                <w:color w:val="auto"/>
                <w:sz w:val="21"/>
                <w:szCs w:val="21"/>
                <w:highlight w:val="none"/>
                <w:lang w:val="en-US"/>
              </w:rPr>
            </w:pPr>
            <w:r>
              <w:rPr>
                <w:rFonts w:hint="eastAsia" w:asciiTheme="minorEastAsia" w:hAnsiTheme="minorEastAsia" w:eastAsiaTheme="minorEastAsia" w:cstheme="minorEastAsia"/>
                <w:b w:val="0"/>
                <w:bCs w:val="0"/>
                <w:color w:val="auto"/>
                <w:kern w:val="0"/>
                <w:sz w:val="21"/>
                <w:szCs w:val="21"/>
                <w:highlight w:val="none"/>
                <w:lang w:val="en-US" w:eastAsia="zh-CN" w:bidi="ar"/>
              </w:rPr>
              <w:t>3</w:t>
            </w:r>
          </w:p>
        </w:tc>
      </w:tr>
      <w:tr w14:paraId="24513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411" w:type="pct"/>
            <w:tcBorders>
              <w:tl2br w:val="nil"/>
              <w:tr2bl w:val="nil"/>
            </w:tcBorders>
            <w:shd w:val="clear" w:color="auto" w:fill="auto"/>
            <w:noWrap w:val="0"/>
            <w:vAlign w:val="center"/>
          </w:tcPr>
          <w:p w14:paraId="47FCF699">
            <w:pPr>
              <w:keepNext w:val="0"/>
              <w:keepLines w:val="0"/>
              <w:pageBreakBefore w:val="0"/>
              <w:kinsoku/>
              <w:wordWrap/>
              <w:overflowPunct/>
              <w:topLinePunct w:val="0"/>
              <w:autoSpaceDE/>
              <w:autoSpaceDN/>
              <w:bidi w:val="0"/>
              <w:adjustRightInd/>
              <w:spacing w:line="360" w:lineRule="auto"/>
              <w:jc w:val="center"/>
              <w:rPr>
                <w:rFonts w:hint="default"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5</w:t>
            </w:r>
          </w:p>
        </w:tc>
        <w:tc>
          <w:tcPr>
            <w:tcW w:w="599" w:type="pct"/>
            <w:tcBorders>
              <w:tl2br w:val="nil"/>
              <w:tr2bl w:val="nil"/>
            </w:tcBorders>
            <w:shd w:val="clear" w:color="auto" w:fill="auto"/>
            <w:noWrap w:val="0"/>
            <w:vAlign w:val="center"/>
          </w:tcPr>
          <w:p w14:paraId="67FD3D94">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b w:val="0"/>
                <w:bCs w:val="0"/>
                <w:color w:val="auto"/>
                <w:kern w:val="0"/>
                <w:sz w:val="21"/>
                <w:szCs w:val="21"/>
                <w:highlight w:val="none"/>
                <w:lang w:bidi="ar"/>
              </w:rPr>
              <w:t>投标供应商人员配置</w:t>
            </w:r>
          </w:p>
        </w:tc>
        <w:tc>
          <w:tcPr>
            <w:tcW w:w="3565" w:type="pct"/>
            <w:tcBorders>
              <w:tl2br w:val="nil"/>
              <w:tr2bl w:val="nil"/>
            </w:tcBorders>
            <w:shd w:val="clear" w:color="auto" w:fill="auto"/>
            <w:noWrap w:val="0"/>
            <w:vAlign w:val="center"/>
          </w:tcPr>
          <w:p w14:paraId="4E11BA0E">
            <w:pPr>
              <w:pStyle w:val="63"/>
              <w:keepNext w:val="0"/>
              <w:keepLines w:val="0"/>
              <w:pageBreakBefore w:val="0"/>
              <w:kinsoku/>
              <w:wordWrap/>
              <w:overflowPunct/>
              <w:topLinePunct w:val="0"/>
              <w:autoSpaceDE/>
              <w:autoSpaceDN/>
              <w:bidi w:val="0"/>
              <w:adjustRightInd/>
              <w:snapToGrid w:val="0"/>
              <w:spacing w:line="360" w:lineRule="auto"/>
              <w:ind w:firstLine="0" w:firstLineChars="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1、投标供应商拟派本项目的项目负责人（一名）具有系统规划与管理师、高级软件开发工程师、</w:t>
            </w:r>
            <w:bookmarkStart w:id="193" w:name="_Toc3404"/>
            <w:bookmarkStart w:id="194" w:name="_Toc130488971"/>
            <w:r>
              <w:rPr>
                <w:rFonts w:hint="eastAsia" w:asciiTheme="minorEastAsia" w:hAnsiTheme="minorEastAsia" w:eastAsiaTheme="minorEastAsia" w:cstheme="minorEastAsia"/>
                <w:b w:val="0"/>
                <w:bCs w:val="0"/>
                <w:color w:val="auto"/>
                <w:sz w:val="21"/>
                <w:szCs w:val="21"/>
                <w:highlight w:val="none"/>
              </w:rPr>
              <w:t>信息技术应用创新专业人员</w:t>
            </w:r>
            <w:bookmarkEnd w:id="193"/>
            <w:bookmarkEnd w:id="194"/>
            <w:r>
              <w:rPr>
                <w:rFonts w:hint="eastAsia" w:asciiTheme="minorEastAsia" w:hAnsiTheme="minorEastAsia" w:eastAsiaTheme="minorEastAsia" w:cstheme="minorEastAsia"/>
                <w:b w:val="0"/>
                <w:bCs w:val="0"/>
                <w:color w:val="auto"/>
                <w:sz w:val="21"/>
                <w:szCs w:val="21"/>
                <w:highlight w:val="none"/>
              </w:rPr>
              <w:t>，每具备一种证书得1分，全部具备得4分。</w:t>
            </w:r>
          </w:p>
          <w:p w14:paraId="52B14C71">
            <w:pPr>
              <w:pStyle w:val="63"/>
              <w:keepNext w:val="0"/>
              <w:keepLines w:val="0"/>
              <w:pageBreakBefore w:val="0"/>
              <w:kinsoku/>
              <w:wordWrap/>
              <w:overflowPunct/>
              <w:topLinePunct w:val="0"/>
              <w:autoSpaceDE/>
              <w:autoSpaceDN/>
              <w:bidi w:val="0"/>
              <w:adjustRightInd/>
              <w:snapToGrid w:val="0"/>
              <w:spacing w:line="360" w:lineRule="auto"/>
              <w:ind w:firstLine="0" w:firstLineChars="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2、投标供应商拟派本项目的技术负责人（一名）具有信息系统项目管理师、数据库系统工程师、系统架构设计师，每具备一种证书得1分，全部具备得</w:t>
            </w: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rPr>
              <w:t>分。</w:t>
            </w:r>
          </w:p>
          <w:p w14:paraId="1DF672B9">
            <w:pPr>
              <w:pStyle w:val="63"/>
              <w:keepNext w:val="0"/>
              <w:keepLines w:val="0"/>
              <w:pageBreakBefore w:val="0"/>
              <w:kinsoku/>
              <w:wordWrap/>
              <w:overflowPunct/>
              <w:topLinePunct w:val="0"/>
              <w:autoSpaceDE/>
              <w:autoSpaceDN/>
              <w:bidi w:val="0"/>
              <w:adjustRightInd/>
              <w:snapToGrid w:val="0"/>
              <w:spacing w:line="360" w:lineRule="auto"/>
              <w:ind w:firstLine="0" w:firstLineChars="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rPr>
              <w:t>、投标供应商拟派本项目的</w:t>
            </w:r>
            <w:r>
              <w:rPr>
                <w:rFonts w:hint="eastAsia" w:asciiTheme="minorEastAsia" w:hAnsiTheme="minorEastAsia" w:eastAsiaTheme="minorEastAsia" w:cstheme="minorEastAsia"/>
                <w:b w:val="0"/>
                <w:bCs w:val="0"/>
                <w:color w:val="auto"/>
                <w:sz w:val="21"/>
                <w:szCs w:val="21"/>
                <w:highlight w:val="none"/>
                <w:lang w:val="en-US" w:eastAsia="zh-CN"/>
              </w:rPr>
              <w:t>安全</w:t>
            </w:r>
            <w:r>
              <w:rPr>
                <w:rFonts w:hint="eastAsia" w:asciiTheme="minorEastAsia" w:hAnsiTheme="minorEastAsia" w:eastAsiaTheme="minorEastAsia" w:cstheme="minorEastAsia"/>
                <w:b w:val="0"/>
                <w:bCs w:val="0"/>
                <w:color w:val="auto"/>
                <w:sz w:val="21"/>
                <w:szCs w:val="21"/>
                <w:highlight w:val="none"/>
              </w:rPr>
              <w:t>负责人（一名）具有</w:t>
            </w:r>
            <w:r>
              <w:rPr>
                <w:rFonts w:hint="eastAsia" w:asciiTheme="minorEastAsia" w:hAnsiTheme="minorEastAsia" w:eastAsiaTheme="minorEastAsia" w:cstheme="minorEastAsia"/>
                <w:b w:val="0"/>
                <w:bCs w:val="0"/>
                <w:color w:val="auto"/>
                <w:sz w:val="21"/>
                <w:szCs w:val="21"/>
                <w:highlight w:val="none"/>
                <w:lang w:val="en-US" w:eastAsia="zh-CN"/>
              </w:rPr>
              <w:t>中级信息安全工程师、</w:t>
            </w:r>
            <w:r>
              <w:rPr>
                <w:rFonts w:hint="eastAsia" w:asciiTheme="minorEastAsia" w:hAnsiTheme="minorEastAsia" w:eastAsiaTheme="minorEastAsia" w:cstheme="minorEastAsia"/>
                <w:b w:val="0"/>
                <w:bCs w:val="0"/>
                <w:color w:val="auto"/>
                <w:sz w:val="21"/>
                <w:szCs w:val="21"/>
                <w:highlight w:val="none"/>
              </w:rPr>
              <w:t>信息系统项目管理师</w:t>
            </w:r>
            <w:r>
              <w:rPr>
                <w:rFonts w:hint="eastAsia" w:asciiTheme="minorEastAsia" w:hAnsiTheme="minorEastAsia" w:eastAsiaTheme="minorEastAsia" w:cstheme="minorEastAsia"/>
                <w:b w:val="0"/>
                <w:bCs w:val="0"/>
                <w:color w:val="auto"/>
                <w:sz w:val="21"/>
                <w:szCs w:val="21"/>
                <w:highlight w:val="none"/>
                <w:lang w:val="en-US" w:eastAsia="zh-CN"/>
              </w:rPr>
              <w:t>、云安全工程师（CISP-CSE）</w:t>
            </w:r>
            <w:r>
              <w:rPr>
                <w:rFonts w:hint="eastAsia" w:asciiTheme="minorEastAsia" w:hAnsiTheme="minorEastAsia" w:eastAsiaTheme="minorEastAsia" w:cstheme="minorEastAsia"/>
                <w:b w:val="0"/>
                <w:bCs w:val="0"/>
                <w:color w:val="auto"/>
                <w:sz w:val="21"/>
                <w:szCs w:val="21"/>
                <w:highlight w:val="none"/>
              </w:rPr>
              <w:t>，每具备一种证书得1分，全部具备得</w:t>
            </w: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rPr>
              <w:t>分。</w:t>
            </w:r>
          </w:p>
          <w:p w14:paraId="786C62FD">
            <w:pPr>
              <w:pStyle w:val="63"/>
              <w:keepNext w:val="0"/>
              <w:keepLines w:val="0"/>
              <w:pageBreakBefore w:val="0"/>
              <w:kinsoku/>
              <w:wordWrap/>
              <w:overflowPunct/>
              <w:topLinePunct w:val="0"/>
              <w:autoSpaceDE/>
              <w:autoSpaceDN/>
              <w:bidi w:val="0"/>
              <w:adjustRightInd/>
              <w:snapToGrid w:val="0"/>
              <w:spacing w:line="360" w:lineRule="auto"/>
              <w:ind w:firstLine="0" w:firstLineChars="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注：① 以上人员需提供完整有效的证书扫描件并加盖公章；② 以上人员证书签发机构为人力资源和社会保障部（厅、局）</w:t>
            </w:r>
            <w:r>
              <w:rPr>
                <w:rFonts w:hint="eastAsia" w:asciiTheme="minorEastAsia" w:hAnsiTheme="minorEastAsia" w:eastAsiaTheme="minorEastAsia" w:cstheme="minorEastAsia"/>
                <w:b w:val="0"/>
                <w:bCs w:val="0"/>
                <w:color w:val="auto"/>
                <w:sz w:val="21"/>
                <w:szCs w:val="21"/>
                <w:highlight w:val="none"/>
                <w:lang w:val="en-US" w:eastAsia="zh-CN"/>
              </w:rPr>
              <w:t>或</w:t>
            </w:r>
            <w:r>
              <w:rPr>
                <w:rFonts w:hint="eastAsia" w:asciiTheme="minorEastAsia" w:hAnsiTheme="minorEastAsia" w:eastAsiaTheme="minorEastAsia" w:cstheme="minorEastAsia"/>
                <w:b w:val="0"/>
                <w:bCs w:val="0"/>
                <w:color w:val="auto"/>
                <w:sz w:val="21"/>
                <w:szCs w:val="21"/>
                <w:highlight w:val="none"/>
              </w:rPr>
              <w:t>工业和信息化部（厅、局、教育与考试中心、产业部</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研究院等</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或中国信息安全测评中心</w:t>
            </w:r>
            <w:r>
              <w:rPr>
                <w:rFonts w:hint="eastAsia" w:asciiTheme="minorEastAsia" w:hAnsiTheme="minorEastAsia" w:eastAsiaTheme="minorEastAsia" w:cstheme="minorEastAsia"/>
                <w:b w:val="0"/>
                <w:bCs w:val="0"/>
                <w:color w:val="auto"/>
                <w:sz w:val="21"/>
                <w:szCs w:val="21"/>
                <w:highlight w:val="none"/>
              </w:rPr>
              <w:t>，否则不得分。③ 提供以上人员在投标截止时间前3个月内任意一个月由社保部门出具的社保证明，社保缴纳单位应与投标供应商名称一致，否则不得分。</w:t>
            </w:r>
          </w:p>
        </w:tc>
        <w:tc>
          <w:tcPr>
            <w:tcW w:w="423" w:type="pct"/>
            <w:tcBorders>
              <w:tl2br w:val="nil"/>
              <w:tr2bl w:val="nil"/>
            </w:tcBorders>
            <w:shd w:val="clear" w:color="auto" w:fill="auto"/>
            <w:noWrap w:val="0"/>
            <w:vAlign w:val="center"/>
          </w:tcPr>
          <w:p w14:paraId="13A2DF96">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12</w:t>
            </w:r>
          </w:p>
        </w:tc>
      </w:tr>
      <w:tr w14:paraId="52E6A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1" w:hRule="atLeast"/>
          <w:jc w:val="center"/>
        </w:trPr>
        <w:tc>
          <w:tcPr>
            <w:tcW w:w="411" w:type="pct"/>
            <w:tcBorders>
              <w:tl2br w:val="nil"/>
              <w:tr2bl w:val="nil"/>
            </w:tcBorders>
            <w:shd w:val="clear" w:color="auto" w:fill="auto"/>
            <w:noWrap w:val="0"/>
            <w:vAlign w:val="center"/>
          </w:tcPr>
          <w:p w14:paraId="0C347257">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6</w:t>
            </w:r>
          </w:p>
        </w:tc>
        <w:tc>
          <w:tcPr>
            <w:tcW w:w="599" w:type="pct"/>
            <w:tcBorders>
              <w:tl2br w:val="nil"/>
              <w:tr2bl w:val="nil"/>
            </w:tcBorders>
            <w:shd w:val="clear" w:color="auto" w:fill="auto"/>
            <w:noWrap w:val="0"/>
            <w:vAlign w:val="center"/>
          </w:tcPr>
          <w:p w14:paraId="508A7733">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售后服务</w:t>
            </w:r>
          </w:p>
        </w:tc>
        <w:tc>
          <w:tcPr>
            <w:tcW w:w="3565" w:type="pct"/>
            <w:tcBorders>
              <w:tl2br w:val="nil"/>
              <w:tr2bl w:val="nil"/>
            </w:tcBorders>
            <w:shd w:val="clear" w:color="auto" w:fill="auto"/>
            <w:noWrap w:val="0"/>
            <w:vAlign w:val="center"/>
          </w:tcPr>
          <w:p w14:paraId="5C5284B9">
            <w:pPr>
              <w:pStyle w:val="63"/>
              <w:keepNext w:val="0"/>
              <w:keepLines w:val="0"/>
              <w:pageBreakBefore w:val="0"/>
              <w:kinsoku/>
              <w:wordWrap/>
              <w:overflowPunct/>
              <w:topLinePunct w:val="0"/>
              <w:autoSpaceDE/>
              <w:autoSpaceDN/>
              <w:bidi w:val="0"/>
              <w:adjustRightInd/>
              <w:snapToGrid w:val="0"/>
              <w:spacing w:line="360" w:lineRule="auto"/>
              <w:ind w:firstLine="0" w:firstLineChars="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根据</w:t>
            </w:r>
            <w:r>
              <w:rPr>
                <w:rFonts w:hint="eastAsia" w:asciiTheme="minorEastAsia" w:hAnsiTheme="minorEastAsia" w:eastAsiaTheme="minorEastAsia" w:cstheme="minorEastAsia"/>
                <w:b w:val="0"/>
                <w:bCs w:val="0"/>
                <w:color w:val="auto"/>
                <w:sz w:val="21"/>
                <w:szCs w:val="21"/>
                <w:highlight w:val="none"/>
                <w:lang w:eastAsia="zh-CN"/>
              </w:rPr>
              <w:t>投标供应商</w:t>
            </w:r>
            <w:r>
              <w:rPr>
                <w:rFonts w:hint="eastAsia" w:asciiTheme="minorEastAsia" w:hAnsiTheme="minorEastAsia" w:eastAsiaTheme="minorEastAsia" w:cstheme="minorEastAsia"/>
                <w:b w:val="0"/>
                <w:bCs w:val="0"/>
                <w:color w:val="auto"/>
                <w:sz w:val="21"/>
                <w:szCs w:val="21"/>
                <w:highlight w:val="none"/>
              </w:rPr>
              <w:t>提供的售后服务方案（包括但不限于售后服务内容、售后服务保证措施</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售</w:t>
            </w:r>
            <w:r>
              <w:rPr>
                <w:rFonts w:hint="eastAsia" w:asciiTheme="minorEastAsia" w:hAnsiTheme="minorEastAsia" w:eastAsiaTheme="minorEastAsia" w:cstheme="minorEastAsia"/>
                <w:b w:val="0"/>
                <w:bCs w:val="0"/>
                <w:color w:val="auto"/>
                <w:sz w:val="21"/>
                <w:szCs w:val="21"/>
                <w:highlight w:val="none"/>
              </w:rPr>
              <w:t>后服务网点的距离便利性、售后服务响应时间等内容）进行综合评分</w:t>
            </w:r>
          </w:p>
          <w:p w14:paraId="1089AAB6">
            <w:pPr>
              <w:pStyle w:val="63"/>
              <w:keepNext w:val="0"/>
              <w:keepLines w:val="0"/>
              <w:pageBreakBefore w:val="0"/>
              <w:kinsoku/>
              <w:wordWrap/>
              <w:overflowPunct/>
              <w:topLinePunct w:val="0"/>
              <w:autoSpaceDE/>
              <w:autoSpaceDN/>
              <w:bidi w:val="0"/>
              <w:adjustRightInd/>
              <w:snapToGrid w:val="0"/>
              <w:spacing w:line="360" w:lineRule="auto"/>
              <w:ind w:firstLine="0" w:firstLineChars="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① 方案全面、合理，具有可实施性的得 </w:t>
            </w: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rPr>
              <w:t xml:space="preserve"> 分；</w:t>
            </w:r>
          </w:p>
          <w:p w14:paraId="414F85B3">
            <w:pPr>
              <w:pStyle w:val="63"/>
              <w:keepNext w:val="0"/>
              <w:keepLines w:val="0"/>
              <w:pageBreakBefore w:val="0"/>
              <w:kinsoku/>
              <w:wordWrap/>
              <w:overflowPunct/>
              <w:topLinePunct w:val="0"/>
              <w:autoSpaceDE/>
              <w:autoSpaceDN/>
              <w:bidi w:val="0"/>
              <w:adjustRightInd/>
              <w:snapToGrid w:val="0"/>
              <w:spacing w:line="360" w:lineRule="auto"/>
              <w:ind w:firstLine="0" w:firstLineChars="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② 方案基本全面、合理，具有可实施性的得 </w:t>
            </w: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rPr>
              <w:t xml:space="preserve"> 分；</w:t>
            </w:r>
          </w:p>
          <w:p w14:paraId="69E40CE5">
            <w:pPr>
              <w:pStyle w:val="63"/>
              <w:keepNext w:val="0"/>
              <w:keepLines w:val="0"/>
              <w:pageBreakBefore w:val="0"/>
              <w:kinsoku/>
              <w:wordWrap/>
              <w:overflowPunct/>
              <w:topLinePunct w:val="0"/>
              <w:autoSpaceDE/>
              <w:autoSpaceDN/>
              <w:bidi w:val="0"/>
              <w:adjustRightInd/>
              <w:snapToGrid w:val="0"/>
              <w:spacing w:line="360" w:lineRule="auto"/>
              <w:ind w:firstLine="0" w:firstLineChars="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③ 方案存在不合理的得 1 分。</w:t>
            </w:r>
          </w:p>
          <w:p w14:paraId="2313E54C">
            <w:pPr>
              <w:pStyle w:val="63"/>
              <w:keepNext w:val="0"/>
              <w:keepLines w:val="0"/>
              <w:pageBreakBefore w:val="0"/>
              <w:kinsoku/>
              <w:wordWrap/>
              <w:overflowPunct/>
              <w:topLinePunct w:val="0"/>
              <w:autoSpaceDE/>
              <w:autoSpaceDN/>
              <w:bidi w:val="0"/>
              <w:adjustRightInd/>
              <w:snapToGrid w:val="0"/>
              <w:spacing w:line="360" w:lineRule="auto"/>
              <w:ind w:firstLine="0" w:firstLineChars="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④ 未提供方案或方案完全不符合项目需求的不得分。</w:t>
            </w:r>
          </w:p>
        </w:tc>
        <w:tc>
          <w:tcPr>
            <w:tcW w:w="423" w:type="pct"/>
            <w:tcBorders>
              <w:tl2br w:val="nil"/>
              <w:tr2bl w:val="nil"/>
            </w:tcBorders>
            <w:shd w:val="clear" w:color="auto" w:fill="auto"/>
            <w:noWrap w:val="0"/>
            <w:vAlign w:val="center"/>
          </w:tcPr>
          <w:p w14:paraId="17AE7E56">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3</w:t>
            </w:r>
          </w:p>
        </w:tc>
      </w:tr>
      <w:tr w14:paraId="338C3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1" w:hRule="atLeast"/>
          <w:jc w:val="center"/>
        </w:trPr>
        <w:tc>
          <w:tcPr>
            <w:tcW w:w="411" w:type="pct"/>
            <w:tcBorders>
              <w:tl2br w:val="nil"/>
              <w:tr2bl w:val="nil"/>
            </w:tcBorders>
            <w:shd w:val="clear" w:color="auto" w:fill="auto"/>
            <w:noWrap w:val="0"/>
            <w:vAlign w:val="center"/>
          </w:tcPr>
          <w:p w14:paraId="167D7841">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7</w:t>
            </w:r>
          </w:p>
        </w:tc>
        <w:tc>
          <w:tcPr>
            <w:tcW w:w="599" w:type="pct"/>
            <w:tcBorders>
              <w:tl2br w:val="nil"/>
              <w:tr2bl w:val="nil"/>
            </w:tcBorders>
            <w:shd w:val="clear" w:color="auto" w:fill="auto"/>
            <w:noWrap w:val="0"/>
            <w:vAlign w:val="center"/>
          </w:tcPr>
          <w:p w14:paraId="73EDD2C1">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系统演示</w:t>
            </w:r>
          </w:p>
        </w:tc>
        <w:tc>
          <w:tcPr>
            <w:tcW w:w="3565" w:type="pct"/>
            <w:tcBorders>
              <w:tl2br w:val="nil"/>
              <w:tr2bl w:val="nil"/>
            </w:tcBorders>
            <w:shd w:val="clear" w:color="auto" w:fill="auto"/>
            <w:noWrap w:val="0"/>
            <w:vAlign w:val="center"/>
          </w:tcPr>
          <w:p w14:paraId="3C7DB587">
            <w:pPr>
              <w:pStyle w:val="63"/>
              <w:keepNext w:val="0"/>
              <w:keepLines w:val="0"/>
              <w:pageBreakBefore w:val="0"/>
              <w:kinsoku/>
              <w:wordWrap/>
              <w:overflowPunct/>
              <w:topLinePunct w:val="0"/>
              <w:autoSpaceDE/>
              <w:autoSpaceDN/>
              <w:bidi w:val="0"/>
              <w:adjustRightInd/>
              <w:snapToGrid w:val="0"/>
              <w:spacing w:line="360" w:lineRule="auto"/>
              <w:ind w:firstLine="0" w:firstLineChars="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演示要求投标单位预先拍摄如下功能内容，并以U盘的形式附于技术投标文件中,可以是录屏、录像等视频，以截图、PPT 为主的演示或未提供的不得分。（演示时间不超过1</w:t>
            </w:r>
            <w:r>
              <w:rPr>
                <w:rFonts w:hint="eastAsia" w:asciiTheme="minorEastAsia" w:hAnsiTheme="minorEastAsia" w:eastAsia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分钟）</w:t>
            </w:r>
          </w:p>
          <w:p w14:paraId="611B93F7">
            <w:pPr>
              <w:pStyle w:val="63"/>
              <w:keepNext w:val="0"/>
              <w:keepLines w:val="0"/>
              <w:pageBreakBefore w:val="0"/>
              <w:kinsoku/>
              <w:wordWrap/>
              <w:overflowPunct/>
              <w:topLinePunct w:val="0"/>
              <w:autoSpaceDE/>
              <w:autoSpaceDN/>
              <w:bidi w:val="0"/>
              <w:adjustRightInd/>
              <w:snapToGrid w:val="0"/>
              <w:spacing w:line="360" w:lineRule="auto"/>
              <w:ind w:firstLine="0" w:firstLineChars="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（1）基于浙江省智能网格数据，绘制</w:t>
            </w:r>
            <w:r>
              <w:rPr>
                <w:rFonts w:hint="eastAsia" w:asciiTheme="minorEastAsia" w:hAnsiTheme="minorEastAsia" w:eastAsiaTheme="minorEastAsia" w:cstheme="minorEastAsia"/>
                <w:b w:val="0"/>
                <w:bCs w:val="0"/>
                <w:color w:val="auto"/>
                <w:sz w:val="21"/>
                <w:szCs w:val="21"/>
                <w:highlight w:val="none"/>
                <w:lang w:val="en-US" w:eastAsia="zh-CN"/>
              </w:rPr>
              <w:t>能见度</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降水</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风</w:t>
            </w:r>
            <w:r>
              <w:rPr>
                <w:rFonts w:hint="eastAsia" w:asciiTheme="minorEastAsia" w:hAnsiTheme="minorEastAsia" w:eastAsiaTheme="minorEastAsia" w:cstheme="minorEastAsia"/>
                <w:b w:val="0"/>
                <w:bCs w:val="0"/>
                <w:color w:val="auto"/>
                <w:sz w:val="21"/>
                <w:szCs w:val="21"/>
                <w:highlight w:val="none"/>
              </w:rPr>
              <w:t>等值线色斑图并叠加在</w:t>
            </w:r>
            <w:r>
              <w:rPr>
                <w:rFonts w:hint="eastAsia" w:asciiTheme="minorEastAsia" w:hAnsiTheme="minorEastAsia" w:eastAsiaTheme="minorEastAsia" w:cstheme="minorEastAsia"/>
                <w:b w:val="0"/>
                <w:bCs w:val="0"/>
                <w:color w:val="auto"/>
                <w:sz w:val="21"/>
                <w:szCs w:val="21"/>
                <w:highlight w:val="none"/>
                <w:lang w:val="en-US" w:eastAsia="zh-CN"/>
              </w:rPr>
              <w:t>GIS地图</w:t>
            </w:r>
            <w:r>
              <w:rPr>
                <w:rFonts w:hint="eastAsia" w:asciiTheme="minorEastAsia" w:hAnsiTheme="minorEastAsia" w:eastAsiaTheme="minorEastAsia" w:cstheme="minorEastAsia"/>
                <w:b w:val="0"/>
                <w:bCs w:val="0"/>
                <w:color w:val="auto"/>
                <w:sz w:val="21"/>
                <w:szCs w:val="21"/>
                <w:highlight w:val="none"/>
              </w:rPr>
              <w:t>显示，</w:t>
            </w:r>
            <w:r>
              <w:rPr>
                <w:rFonts w:hint="eastAsia" w:asciiTheme="minorEastAsia" w:hAnsiTheme="minorEastAsia" w:eastAsiaTheme="minorEastAsia" w:cstheme="minorEastAsia"/>
                <w:b w:val="0"/>
                <w:bCs w:val="0"/>
                <w:color w:val="auto"/>
                <w:sz w:val="21"/>
                <w:szCs w:val="21"/>
                <w:highlight w:val="none"/>
                <w:lang w:val="en-US" w:eastAsia="zh-CN"/>
              </w:rPr>
              <w:t>风速</w:t>
            </w:r>
            <w:r>
              <w:rPr>
                <w:rFonts w:hint="eastAsia" w:asciiTheme="minorEastAsia" w:hAnsiTheme="minorEastAsia" w:eastAsiaTheme="minorEastAsia" w:cstheme="minorEastAsia"/>
                <w:b w:val="0"/>
                <w:bCs w:val="0"/>
                <w:color w:val="auto"/>
                <w:sz w:val="21"/>
                <w:szCs w:val="21"/>
                <w:highlight w:val="none"/>
              </w:rPr>
              <w:t>需</w:t>
            </w:r>
            <w:r>
              <w:rPr>
                <w:rFonts w:hint="eastAsia" w:asciiTheme="minorEastAsia" w:hAnsiTheme="minorEastAsia" w:eastAsiaTheme="minorEastAsia" w:cstheme="minorEastAsia"/>
                <w:b w:val="0"/>
                <w:bCs w:val="0"/>
                <w:color w:val="auto"/>
                <w:sz w:val="21"/>
                <w:szCs w:val="21"/>
                <w:highlight w:val="none"/>
                <w:lang w:val="en-US" w:eastAsia="zh-CN"/>
              </w:rPr>
              <w:t>叠加</w:t>
            </w:r>
            <w:r>
              <w:rPr>
                <w:rFonts w:hint="eastAsia" w:asciiTheme="minorEastAsia" w:hAnsiTheme="minorEastAsia" w:eastAsiaTheme="minorEastAsia" w:cstheme="minorEastAsia"/>
                <w:b w:val="0"/>
                <w:bCs w:val="0"/>
                <w:color w:val="auto"/>
                <w:sz w:val="21"/>
                <w:szCs w:val="21"/>
                <w:highlight w:val="none"/>
              </w:rPr>
              <w:t>风向杆。（</w:t>
            </w:r>
            <w:r>
              <w:rPr>
                <w:rFonts w:hint="eastAsia" w:asciiTheme="minorEastAsia" w:hAnsiTheme="minorEastAsia" w:eastAsiaTheme="minorEastAsia" w:cstheme="minorEastAsia"/>
                <w:b w:val="0"/>
                <w:bCs w:val="0"/>
                <w:color w:val="auto"/>
                <w:sz w:val="21"/>
                <w:szCs w:val="21"/>
                <w:highlight w:val="none"/>
                <w:lang w:val="en-US" w:eastAsia="zh-CN"/>
              </w:rPr>
              <w:t>0-2</w:t>
            </w:r>
            <w:r>
              <w:rPr>
                <w:rFonts w:hint="eastAsia" w:asciiTheme="minorEastAsia" w:hAnsiTheme="minorEastAsia" w:eastAsiaTheme="minorEastAsia" w:cstheme="minorEastAsia"/>
                <w:b w:val="0"/>
                <w:bCs w:val="0"/>
                <w:color w:val="auto"/>
                <w:sz w:val="21"/>
                <w:szCs w:val="21"/>
                <w:highlight w:val="none"/>
              </w:rPr>
              <w:t>分）</w:t>
            </w:r>
          </w:p>
          <w:p w14:paraId="779D2E21">
            <w:pPr>
              <w:pStyle w:val="63"/>
              <w:keepNext w:val="0"/>
              <w:keepLines w:val="0"/>
              <w:pageBreakBefore w:val="0"/>
              <w:kinsoku/>
              <w:wordWrap/>
              <w:overflowPunct/>
              <w:topLinePunct w:val="0"/>
              <w:autoSpaceDE/>
              <w:autoSpaceDN/>
              <w:bidi w:val="0"/>
              <w:adjustRightInd/>
              <w:snapToGrid w:val="0"/>
              <w:spacing w:line="360" w:lineRule="auto"/>
              <w:ind w:firstLine="0" w:firstLineChars="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rPr>
              <w:t>（2）基于浙江省智能网格数据</w:t>
            </w:r>
            <w:r>
              <w:rPr>
                <w:rFonts w:hint="eastAsia" w:asciiTheme="minorEastAsia" w:hAnsiTheme="minorEastAsia" w:eastAsiaTheme="minorEastAsia" w:cstheme="minorEastAsia"/>
                <w:b w:val="0"/>
                <w:bCs w:val="0"/>
                <w:color w:val="auto"/>
                <w:sz w:val="21"/>
                <w:szCs w:val="21"/>
                <w:highlight w:val="none"/>
                <w:lang w:val="en-US" w:eastAsia="zh-CN"/>
              </w:rPr>
              <w:t>和气象实况数据</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计算出各乡镇街道实况与预报的综合风险、道路结冰风险、低能见度风险和暴雨风险，并结合GIS地图按乡镇进行填色，同时叠加预警图标，支持预报时间的切换。</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0-2</w:t>
            </w:r>
            <w:r>
              <w:rPr>
                <w:rFonts w:hint="eastAsia" w:asciiTheme="minorEastAsia" w:hAnsiTheme="minorEastAsia" w:eastAsiaTheme="minorEastAsia" w:cstheme="minorEastAsia"/>
                <w:b w:val="0"/>
                <w:bCs w:val="0"/>
                <w:color w:val="auto"/>
                <w:sz w:val="21"/>
                <w:szCs w:val="21"/>
                <w:highlight w:val="none"/>
              </w:rPr>
              <w:t>分）</w:t>
            </w:r>
          </w:p>
          <w:p w14:paraId="091B2CC4">
            <w:pPr>
              <w:pStyle w:val="63"/>
              <w:keepNext w:val="0"/>
              <w:keepLines w:val="0"/>
              <w:pageBreakBefore w:val="0"/>
              <w:kinsoku/>
              <w:wordWrap/>
              <w:overflowPunct/>
              <w:topLinePunct w:val="0"/>
              <w:autoSpaceDE/>
              <w:autoSpaceDN/>
              <w:bidi w:val="0"/>
              <w:adjustRightInd/>
              <w:snapToGrid w:val="0"/>
              <w:spacing w:line="360" w:lineRule="auto"/>
              <w:ind w:firstLine="0" w:firstLineChars="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rPr>
              <w:t>）基于浙江省智能网格数据</w:t>
            </w:r>
            <w:r>
              <w:rPr>
                <w:rFonts w:hint="eastAsia" w:asciiTheme="minorEastAsia" w:hAnsiTheme="minorEastAsia" w:eastAsiaTheme="minorEastAsia" w:cstheme="minorEastAsia"/>
                <w:b w:val="0"/>
                <w:bCs w:val="0"/>
                <w:color w:val="auto"/>
                <w:sz w:val="21"/>
                <w:szCs w:val="21"/>
                <w:highlight w:val="none"/>
                <w:lang w:val="en-US" w:eastAsia="zh-CN"/>
              </w:rPr>
              <w:t>和气象实况数据</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计算出各线路实况与预报的综合风险、道路结冰风险、低能见度风险和暴雨风险，并结合GIS地图显示线路风险等级，放大地图等级按风险等级显示线路不通等级线段，并给出最高数值点位。点击线段支持弹窗信息统计，包含车辆、风险时序等，支持预报时间的切换。</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0-2</w:t>
            </w:r>
            <w:r>
              <w:rPr>
                <w:rFonts w:hint="eastAsia" w:asciiTheme="minorEastAsia" w:hAnsiTheme="minorEastAsia" w:eastAsiaTheme="minorEastAsia" w:cstheme="minorEastAsia"/>
                <w:b w:val="0"/>
                <w:bCs w:val="0"/>
                <w:color w:val="auto"/>
                <w:sz w:val="21"/>
                <w:szCs w:val="21"/>
                <w:highlight w:val="none"/>
              </w:rPr>
              <w:t>分）</w:t>
            </w:r>
          </w:p>
          <w:p w14:paraId="47F7D543">
            <w:pPr>
              <w:pStyle w:val="63"/>
              <w:keepNext w:val="0"/>
              <w:keepLines w:val="0"/>
              <w:pageBreakBefore w:val="0"/>
              <w:kinsoku/>
              <w:wordWrap/>
              <w:overflowPunct/>
              <w:topLinePunct w:val="0"/>
              <w:autoSpaceDE/>
              <w:autoSpaceDN/>
              <w:bidi w:val="0"/>
              <w:adjustRightInd/>
              <w:snapToGrid w:val="0"/>
              <w:spacing w:line="360" w:lineRule="auto"/>
              <w:ind w:firstLine="0" w:firstLineChars="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rPr>
              <w:t>）基于浙江省智能网格数据</w:t>
            </w:r>
            <w:r>
              <w:rPr>
                <w:rFonts w:hint="eastAsia" w:asciiTheme="minorEastAsia" w:hAnsiTheme="minorEastAsia" w:eastAsiaTheme="minorEastAsia" w:cstheme="minorEastAsia"/>
                <w:b w:val="0"/>
                <w:bCs w:val="0"/>
                <w:color w:val="auto"/>
                <w:sz w:val="21"/>
                <w:szCs w:val="21"/>
                <w:highlight w:val="none"/>
                <w:lang w:val="en-US" w:eastAsia="zh-CN"/>
              </w:rPr>
              <w:t>和气象实况数据</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把计算的出的各类风险</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以消息列表的形式进行展示。</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0-1</w:t>
            </w:r>
            <w:r>
              <w:rPr>
                <w:rFonts w:hint="eastAsia" w:asciiTheme="minorEastAsia" w:hAnsiTheme="minorEastAsia" w:eastAsiaTheme="minorEastAsia" w:cstheme="minorEastAsia"/>
                <w:b w:val="0"/>
                <w:bCs w:val="0"/>
                <w:color w:val="auto"/>
                <w:sz w:val="21"/>
                <w:szCs w:val="21"/>
                <w:highlight w:val="none"/>
              </w:rPr>
              <w:t>分）</w:t>
            </w:r>
          </w:p>
          <w:p w14:paraId="478D1602">
            <w:pPr>
              <w:pStyle w:val="63"/>
              <w:keepNext w:val="0"/>
              <w:keepLines w:val="0"/>
              <w:pageBreakBefore w:val="0"/>
              <w:kinsoku/>
              <w:wordWrap/>
              <w:overflowPunct/>
              <w:topLinePunct w:val="0"/>
              <w:autoSpaceDE/>
              <w:autoSpaceDN/>
              <w:bidi w:val="0"/>
              <w:adjustRightInd/>
              <w:snapToGrid w:val="0"/>
              <w:spacing w:line="360" w:lineRule="auto"/>
              <w:ind w:firstLine="0" w:firstLineChars="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（5）结合GIS地图，叠加公交的实时信息，包括车牌号、时速、行驶方向等。</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0-1</w:t>
            </w:r>
            <w:r>
              <w:rPr>
                <w:rFonts w:hint="eastAsia" w:asciiTheme="minorEastAsia" w:hAnsiTheme="minorEastAsia" w:eastAsiaTheme="minorEastAsia" w:cstheme="minorEastAsia"/>
                <w:b w:val="0"/>
                <w:bCs w:val="0"/>
                <w:color w:val="auto"/>
                <w:sz w:val="21"/>
                <w:szCs w:val="21"/>
                <w:highlight w:val="none"/>
              </w:rPr>
              <w:t>分）</w:t>
            </w:r>
          </w:p>
          <w:p w14:paraId="4CB59F2B">
            <w:pPr>
              <w:pStyle w:val="63"/>
              <w:keepNext w:val="0"/>
              <w:keepLines w:val="0"/>
              <w:pageBreakBefore w:val="0"/>
              <w:kinsoku/>
              <w:wordWrap/>
              <w:overflowPunct/>
              <w:topLinePunct w:val="0"/>
              <w:autoSpaceDE/>
              <w:autoSpaceDN/>
              <w:bidi w:val="0"/>
              <w:adjustRightInd/>
              <w:snapToGrid w:val="0"/>
              <w:spacing w:line="360" w:lineRule="auto"/>
              <w:ind w:firstLine="0" w:firstLineChars="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6</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基于GIS地图结合显示大交通相关图层信息，</w:t>
            </w:r>
            <w:r>
              <w:rPr>
                <w:rFonts w:hint="eastAsia" w:asciiTheme="minorEastAsia" w:hAnsiTheme="minorEastAsia" w:eastAsiaTheme="minorEastAsia" w:cstheme="minorEastAsia"/>
                <w:b w:val="0"/>
                <w:bCs w:val="0"/>
                <w:color w:val="auto"/>
                <w:sz w:val="21"/>
                <w:szCs w:val="21"/>
                <w:highlight w:val="none"/>
              </w:rPr>
              <w:t>基于</w:t>
            </w:r>
            <w:r>
              <w:rPr>
                <w:rFonts w:hint="eastAsia" w:asciiTheme="minorEastAsia" w:hAnsiTheme="minorEastAsia" w:eastAsiaTheme="minorEastAsia" w:cstheme="minorEastAsia"/>
                <w:b w:val="0"/>
                <w:bCs w:val="0"/>
                <w:color w:val="auto"/>
                <w:sz w:val="21"/>
                <w:szCs w:val="21"/>
                <w:highlight w:val="none"/>
                <w:lang w:val="en-US" w:eastAsia="zh-CN"/>
              </w:rPr>
              <w:t>浙江省智能网格</w:t>
            </w:r>
            <w:r>
              <w:rPr>
                <w:rFonts w:hint="eastAsia" w:asciiTheme="minorEastAsia" w:hAnsiTheme="minorEastAsia" w:eastAsiaTheme="minorEastAsia" w:cstheme="minorEastAsia"/>
                <w:b w:val="0"/>
                <w:bCs w:val="0"/>
                <w:color w:val="auto"/>
                <w:sz w:val="21"/>
                <w:szCs w:val="21"/>
                <w:highlight w:val="none"/>
              </w:rPr>
              <w:t>数据</w:t>
            </w:r>
            <w:r>
              <w:rPr>
                <w:rFonts w:hint="eastAsia" w:asciiTheme="minorEastAsia" w:hAnsiTheme="minorEastAsia" w:eastAsiaTheme="minorEastAsia" w:cstheme="minorEastAsia"/>
                <w:b w:val="0"/>
                <w:bCs w:val="0"/>
                <w:color w:val="auto"/>
                <w:sz w:val="21"/>
                <w:szCs w:val="21"/>
                <w:highlight w:val="none"/>
                <w:lang w:val="en-US" w:eastAsia="zh-CN"/>
              </w:rPr>
              <w:t>和气象实况</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通过插值算法计算出相关点、线、面的降水级、风级等要素填色，并以表格的形式进行展示</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0-1</w:t>
            </w:r>
            <w:r>
              <w:rPr>
                <w:rFonts w:hint="eastAsia" w:asciiTheme="minorEastAsia" w:hAnsiTheme="minorEastAsia" w:eastAsiaTheme="minorEastAsia" w:cstheme="minorEastAsia"/>
                <w:b w:val="0"/>
                <w:bCs w:val="0"/>
                <w:color w:val="auto"/>
                <w:sz w:val="21"/>
                <w:szCs w:val="21"/>
                <w:highlight w:val="none"/>
              </w:rPr>
              <w:t>分）</w:t>
            </w:r>
          </w:p>
          <w:p w14:paraId="440AE323">
            <w:pPr>
              <w:pStyle w:val="63"/>
              <w:keepNext w:val="0"/>
              <w:keepLines w:val="0"/>
              <w:pageBreakBefore w:val="0"/>
              <w:kinsoku/>
              <w:wordWrap/>
              <w:overflowPunct/>
              <w:topLinePunct w:val="0"/>
              <w:autoSpaceDE/>
              <w:autoSpaceDN/>
              <w:bidi w:val="0"/>
              <w:adjustRightInd/>
              <w:snapToGrid w:val="0"/>
              <w:spacing w:line="360" w:lineRule="auto"/>
              <w:ind w:firstLine="0" w:firstLineChars="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7</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根据业务方给定需求自定生成对应的气象服务专题日报内容，需陪有人工审核订正功能</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0-1</w:t>
            </w:r>
            <w:r>
              <w:rPr>
                <w:rFonts w:hint="eastAsia" w:asciiTheme="minorEastAsia" w:hAnsiTheme="minorEastAsia" w:eastAsiaTheme="minorEastAsia" w:cstheme="minorEastAsia"/>
                <w:b w:val="0"/>
                <w:bCs w:val="0"/>
                <w:color w:val="auto"/>
                <w:sz w:val="21"/>
                <w:szCs w:val="21"/>
                <w:highlight w:val="none"/>
              </w:rPr>
              <w:t>分）</w:t>
            </w:r>
          </w:p>
        </w:tc>
        <w:tc>
          <w:tcPr>
            <w:tcW w:w="423" w:type="pct"/>
            <w:tcBorders>
              <w:tl2br w:val="nil"/>
              <w:tr2bl w:val="nil"/>
            </w:tcBorders>
            <w:shd w:val="clear" w:color="auto" w:fill="auto"/>
            <w:noWrap w:val="0"/>
            <w:vAlign w:val="center"/>
          </w:tcPr>
          <w:p w14:paraId="7FF4AD9A">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10</w:t>
            </w:r>
          </w:p>
        </w:tc>
      </w:tr>
    </w:tbl>
    <w:p w14:paraId="132C2126">
      <w:pPr>
        <w:keepNext w:val="0"/>
        <w:keepLines w:val="0"/>
        <w:pageBreakBefore w:val="0"/>
        <w:shd w:val="clear" w:color="auto" w:fill="auto"/>
        <w:kinsoku/>
        <w:wordWrap/>
        <w:topLinePunct w:val="0"/>
        <w:bidi w:val="0"/>
        <w:adjustRightInd w:val="0"/>
        <w:snapToGrid w:val="0"/>
        <w:spacing w:line="360" w:lineRule="auto"/>
        <w:ind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2、报价分的评定（</w:t>
      </w:r>
      <w:r>
        <w:rPr>
          <w:rFonts w:hint="eastAsia" w:asciiTheme="minorEastAsia" w:hAnsiTheme="minorEastAsia" w:eastAsiaTheme="minorEastAsia" w:cstheme="minorEastAsia"/>
          <w:b/>
          <w:color w:val="auto"/>
          <w:sz w:val="21"/>
          <w:szCs w:val="21"/>
          <w:highlight w:val="none"/>
          <w:lang w:val="en-US" w:eastAsia="zh-CN"/>
        </w:rPr>
        <w:t>40</w:t>
      </w:r>
      <w:r>
        <w:rPr>
          <w:rFonts w:hint="eastAsia" w:asciiTheme="minorEastAsia" w:hAnsiTheme="minorEastAsia" w:eastAsiaTheme="minorEastAsia" w:cstheme="minorEastAsia"/>
          <w:b/>
          <w:color w:val="auto"/>
          <w:sz w:val="21"/>
          <w:szCs w:val="21"/>
          <w:highlight w:val="none"/>
        </w:rPr>
        <w:t>分）</w:t>
      </w:r>
    </w:p>
    <w:p w14:paraId="10EB72AF">
      <w:pPr>
        <w:keepNext w:val="0"/>
        <w:keepLines w:val="0"/>
        <w:pageBreakBefore w:val="0"/>
        <w:shd w:val="clear" w:color="auto" w:fill="auto"/>
        <w:kinsoku/>
        <w:wordWrap/>
        <w:topLinePunct w:val="0"/>
        <w:bidi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满足采购文件要求且投标报价最低的投标报价为评标基准价，其余投标人投标报价与该基准价对比，计算出商务报价评分值。（保留小数2位）：</w:t>
      </w:r>
    </w:p>
    <w:p w14:paraId="65C5366B">
      <w:pPr>
        <w:keepNext w:val="0"/>
        <w:keepLines w:val="0"/>
        <w:pageBreakBefore w:val="0"/>
        <w:shd w:val="clear" w:color="auto" w:fill="auto"/>
        <w:kinsoku/>
        <w:wordWrap/>
        <w:topLinePunct w:val="0"/>
        <w:bidi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 有效投标人的投标报价等于评标基准价时其报价分为满分</w:t>
      </w:r>
      <w:r>
        <w:rPr>
          <w:rFonts w:hint="eastAsia" w:asciiTheme="minorEastAsia" w:hAnsiTheme="minorEastAsia" w:eastAsiaTheme="minorEastAsia" w:cstheme="minorEastAsia"/>
          <w:color w:val="auto"/>
          <w:kern w:val="0"/>
          <w:sz w:val="21"/>
          <w:szCs w:val="21"/>
          <w:highlight w:val="none"/>
          <w:lang w:val="en-US" w:eastAsia="zh-CN"/>
        </w:rPr>
        <w:t>40</w:t>
      </w:r>
      <w:r>
        <w:rPr>
          <w:rFonts w:hint="eastAsia" w:asciiTheme="minorEastAsia" w:hAnsiTheme="minorEastAsia" w:eastAsiaTheme="minorEastAsia" w:cstheme="minorEastAsia"/>
          <w:color w:val="auto"/>
          <w:kern w:val="0"/>
          <w:sz w:val="21"/>
          <w:szCs w:val="21"/>
          <w:highlight w:val="none"/>
        </w:rPr>
        <w:t>分；</w:t>
      </w:r>
    </w:p>
    <w:p w14:paraId="61922DBD">
      <w:pPr>
        <w:keepNext w:val="0"/>
        <w:keepLines w:val="0"/>
        <w:pageBreakBefore w:val="0"/>
        <w:shd w:val="clear" w:color="auto" w:fill="auto"/>
        <w:kinsoku/>
        <w:wordWrap/>
        <w:topLinePunct w:val="0"/>
        <w:bidi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 其他投标人的价格分按以下公式计算：</w:t>
      </w:r>
    </w:p>
    <w:p w14:paraId="5495F6BF">
      <w:pPr>
        <w:keepNext w:val="0"/>
        <w:keepLines w:val="0"/>
        <w:pageBreakBefore w:val="0"/>
        <w:shd w:val="clear" w:color="auto" w:fill="auto"/>
        <w:kinsoku/>
        <w:wordWrap/>
        <w:topLinePunct w:val="0"/>
        <w:bidi w:val="0"/>
        <w:spacing w:line="360" w:lineRule="auto"/>
        <w:ind w:left="141" w:leftChars="67" w:firstLine="312" w:firstLineChars="148"/>
        <w:rPr>
          <w:rFonts w:hint="eastAsia" w:asciiTheme="minorEastAsia" w:hAnsiTheme="minorEastAsia" w:eastAsiaTheme="minorEastAsia" w:cstheme="minorEastAsia"/>
          <w:b/>
          <w:color w:val="auto"/>
          <w:kern w:val="0"/>
          <w:sz w:val="21"/>
          <w:szCs w:val="21"/>
          <w:highlight w:val="none"/>
          <w:u w:val="single"/>
        </w:rPr>
      </w:pPr>
      <w:r>
        <w:rPr>
          <w:rFonts w:hint="eastAsia" w:asciiTheme="minorEastAsia" w:hAnsiTheme="minorEastAsia" w:eastAsiaTheme="minorEastAsia" w:cstheme="minorEastAsia"/>
          <w:b/>
          <w:color w:val="auto"/>
          <w:kern w:val="0"/>
          <w:sz w:val="21"/>
          <w:szCs w:val="21"/>
          <w:highlight w:val="none"/>
          <w:u w:val="single"/>
        </w:rPr>
        <w:t>报价得分=（评标基准价/投标人投标报价）×</w:t>
      </w:r>
      <w:r>
        <w:rPr>
          <w:rFonts w:hint="eastAsia" w:asciiTheme="minorEastAsia" w:hAnsiTheme="minorEastAsia" w:eastAsiaTheme="minorEastAsia" w:cstheme="minorEastAsia"/>
          <w:b/>
          <w:color w:val="auto"/>
          <w:kern w:val="0"/>
          <w:sz w:val="21"/>
          <w:szCs w:val="21"/>
          <w:highlight w:val="none"/>
          <w:u w:val="single"/>
          <w:lang w:val="en-US" w:eastAsia="zh-CN"/>
        </w:rPr>
        <w:t>40</w:t>
      </w:r>
      <w:r>
        <w:rPr>
          <w:rFonts w:hint="eastAsia" w:asciiTheme="minorEastAsia" w:hAnsiTheme="minorEastAsia" w:eastAsiaTheme="minorEastAsia" w:cstheme="minorEastAsia"/>
          <w:b/>
          <w:color w:val="auto"/>
          <w:kern w:val="0"/>
          <w:sz w:val="21"/>
          <w:szCs w:val="21"/>
          <w:highlight w:val="none"/>
          <w:u w:val="single"/>
        </w:rPr>
        <w:t>%×100（保留小数2位）</w:t>
      </w:r>
    </w:p>
    <w:p w14:paraId="3A6763A0">
      <w:pPr>
        <w:keepNext w:val="0"/>
        <w:keepLines w:val="0"/>
        <w:pageBreakBefore w:val="0"/>
        <w:shd w:val="clear" w:color="auto" w:fill="auto"/>
        <w:kinsoku/>
        <w:wordWrap/>
        <w:topLinePunct w:val="0"/>
        <w:bidi w:val="0"/>
        <w:spacing w:line="360" w:lineRule="auto"/>
        <w:ind w:firstLine="422" w:firstLineChars="200"/>
        <w:rPr>
          <w:rFonts w:hint="eastAsia" w:asciiTheme="minorEastAsia" w:hAnsiTheme="minorEastAsia" w:eastAsiaTheme="minorEastAsia" w:cstheme="minorEastAsia"/>
          <w:b/>
          <w:color w:val="auto"/>
          <w:kern w:val="0"/>
          <w:sz w:val="21"/>
          <w:szCs w:val="21"/>
          <w:highlight w:val="none"/>
          <w:u w:val="single"/>
        </w:rPr>
      </w:pPr>
      <w:r>
        <w:rPr>
          <w:rFonts w:hint="eastAsia" w:asciiTheme="minorEastAsia" w:hAnsiTheme="minorEastAsia" w:eastAsiaTheme="minorEastAsia" w:cstheme="minorEastAsia"/>
          <w:b/>
          <w:color w:val="auto"/>
          <w:kern w:val="0"/>
          <w:sz w:val="21"/>
          <w:szCs w:val="21"/>
          <w:highlight w:val="none"/>
        </w:rPr>
        <w:t>3）▲</w:t>
      </w:r>
      <w:r>
        <w:rPr>
          <w:rFonts w:hint="eastAsia" w:asciiTheme="minorEastAsia" w:hAnsiTheme="minorEastAsia" w:eastAsiaTheme="minorEastAsia" w:cstheme="minorEastAsia"/>
          <w:b/>
          <w:color w:val="auto"/>
          <w:kern w:val="0"/>
          <w:sz w:val="21"/>
          <w:szCs w:val="21"/>
          <w:highlight w:val="none"/>
          <w:u w:val="single"/>
        </w:rPr>
        <w:t>本项目采购预算为</w:t>
      </w:r>
      <w:r>
        <w:rPr>
          <w:rFonts w:hint="eastAsia" w:asciiTheme="minorEastAsia" w:hAnsiTheme="minorEastAsia" w:eastAsiaTheme="minorEastAsia" w:cstheme="minorEastAsia"/>
          <w:b/>
          <w:color w:val="auto"/>
          <w:kern w:val="0"/>
          <w:sz w:val="21"/>
          <w:szCs w:val="21"/>
          <w:highlight w:val="none"/>
          <w:u w:val="single"/>
          <w:lang w:eastAsia="zh-CN"/>
        </w:rPr>
        <w:t>70万元</w:t>
      </w:r>
      <w:r>
        <w:rPr>
          <w:rFonts w:hint="eastAsia" w:asciiTheme="minorEastAsia" w:hAnsiTheme="minorEastAsia" w:eastAsiaTheme="minorEastAsia" w:cstheme="minorEastAsia"/>
          <w:b/>
          <w:color w:val="auto"/>
          <w:kern w:val="0"/>
          <w:sz w:val="21"/>
          <w:szCs w:val="21"/>
          <w:highlight w:val="none"/>
          <w:u w:val="single"/>
        </w:rPr>
        <w:t>。投标人投标报价如超过采购预算的，其投标文件做无效标处理。</w:t>
      </w:r>
    </w:p>
    <w:p w14:paraId="426A9DE5">
      <w:pPr>
        <w:keepNext w:val="0"/>
        <w:keepLines w:val="0"/>
        <w:pageBreakBefore w:val="0"/>
        <w:shd w:val="clear" w:color="auto" w:fill="auto"/>
        <w:kinsoku/>
        <w:wordWrap/>
        <w:topLinePunct w:val="0"/>
        <w:bidi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4）所有投标人投标报价均超采购预算，采购人无法支付的,重新组织采购。</w:t>
      </w:r>
    </w:p>
    <w:p w14:paraId="7CC7880B">
      <w:pPr>
        <w:keepNext w:val="0"/>
        <w:keepLines w:val="0"/>
        <w:pageBreakBefore w:val="0"/>
        <w:shd w:val="clear" w:color="auto" w:fill="auto"/>
        <w:kinsoku/>
        <w:wordWrap/>
        <w:topLinePunct w:val="0"/>
        <w:bidi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3、有效投标人的综合得分为商务技术分和报价分的总和。</w:t>
      </w:r>
    </w:p>
    <w:p w14:paraId="6FBC61FC">
      <w:pPr>
        <w:keepNext w:val="0"/>
        <w:keepLines w:val="0"/>
        <w:pageBreakBefore w:val="0"/>
        <w:shd w:val="clear" w:color="auto" w:fill="auto"/>
        <w:kinsoku/>
        <w:wordWrap/>
        <w:topLinePunct w:val="0"/>
        <w:bidi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评标委员会依据法律、法规及采购文件有关规定在有效标中按投标人的综合得分（商务技术分及报价分之和）高低进行排序，综合得分前二名投标人依次作为第一、第二中标候选人向采购人推荐，并提交评标报告。综合得分相同的以报价分得分高的优先；综合</w:t>
      </w:r>
      <w:r>
        <w:rPr>
          <w:rFonts w:hint="eastAsia" w:asciiTheme="minorEastAsia" w:hAnsiTheme="minorEastAsia" w:eastAsiaTheme="minorEastAsia" w:cstheme="minorEastAsia"/>
          <w:color w:val="auto"/>
          <w:kern w:val="0"/>
          <w:sz w:val="21"/>
          <w:szCs w:val="21"/>
          <w:highlight w:val="none"/>
        </w:rPr>
        <w:t>得分相同且</w:t>
      </w:r>
      <w:r>
        <w:rPr>
          <w:rFonts w:hint="eastAsia" w:asciiTheme="minorEastAsia" w:hAnsiTheme="minorEastAsia" w:eastAsiaTheme="minorEastAsia" w:cstheme="minorEastAsia"/>
          <w:color w:val="auto"/>
          <w:sz w:val="21"/>
          <w:szCs w:val="21"/>
          <w:highlight w:val="none"/>
        </w:rPr>
        <w:t>报价分得分相同的，由评标委员会随机抽签决定排序。</w:t>
      </w:r>
    </w:p>
    <w:p w14:paraId="4598EA92">
      <w:pPr>
        <w:keepNext w:val="0"/>
        <w:keepLines w:val="0"/>
        <w:pageBreakBefore w:val="0"/>
        <w:shd w:val="clear" w:color="auto" w:fill="auto"/>
        <w:kinsoku/>
        <w:wordWrap/>
        <w:topLinePunct w:val="0"/>
        <w:bidi w:val="0"/>
        <w:adjustRightInd w:val="0"/>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五</w:t>
      </w:r>
      <w:r>
        <w:rPr>
          <w:rFonts w:hint="eastAsia" w:asciiTheme="minorEastAsia" w:hAnsiTheme="minorEastAsia" w:eastAsiaTheme="minorEastAsia" w:cstheme="minorEastAsia"/>
          <w:b/>
          <w:color w:val="auto"/>
          <w:sz w:val="21"/>
          <w:szCs w:val="21"/>
          <w:highlight w:val="none"/>
        </w:rPr>
        <w:t>、定标办法</w:t>
      </w:r>
    </w:p>
    <w:p w14:paraId="5C3B7CB1">
      <w:pPr>
        <w:keepNext w:val="0"/>
        <w:keepLines w:val="0"/>
        <w:pageBreakBefore w:val="0"/>
        <w:shd w:val="clear" w:color="auto" w:fill="auto"/>
        <w:kinsoku/>
        <w:wordWrap/>
        <w:topLinePunct w:val="0"/>
        <w:bidi w:val="0"/>
        <w:spacing w:line="360" w:lineRule="auto"/>
        <w:ind w:firstLine="45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次采购由评标委员会推荐中标候选人，采购人根据评标委员会的推荐结果进行最终确认。若中标候选人放弃中标资格；因不可抗力提出不能履行合同；或者采购文件规定应当提交履约保证金而在规定的期限内未能提交的；或未能在规定时间内与采购人签订合同的；或者经质疑，采购人审查后，确因第一中标候选人在本次采购活动中存在违法违规行为或其他原因使质疑成立的，采购人可以视具体情况确定是否由排名第二的中标候选人为</w:t>
      </w:r>
      <w:r>
        <w:rPr>
          <w:rFonts w:hint="eastAsia" w:asciiTheme="minorEastAsia" w:hAnsiTheme="minorEastAsia" w:eastAsiaTheme="minorEastAsia" w:cstheme="minorEastAsia"/>
          <w:color w:val="auto"/>
          <w:sz w:val="21"/>
          <w:szCs w:val="21"/>
          <w:highlight w:val="none"/>
          <w:lang w:eastAsia="zh-CN"/>
        </w:rPr>
        <w:t>中标供应商</w:t>
      </w:r>
      <w:r>
        <w:rPr>
          <w:rFonts w:hint="eastAsia" w:asciiTheme="minorEastAsia" w:hAnsiTheme="minorEastAsia" w:eastAsiaTheme="minorEastAsia" w:cstheme="minorEastAsia"/>
          <w:color w:val="auto"/>
          <w:sz w:val="21"/>
          <w:szCs w:val="21"/>
          <w:highlight w:val="none"/>
        </w:rPr>
        <w:t>。如第二中标候选人因前款规定的同样原因不能签订合同的，本次采购失败，重新组织采购。</w:t>
      </w:r>
    </w:p>
    <w:p w14:paraId="1571E343">
      <w:pPr>
        <w:keepNext w:val="0"/>
        <w:keepLines w:val="0"/>
        <w:pageBreakBefore w:val="0"/>
        <w:shd w:val="clear" w:color="auto" w:fill="auto"/>
        <w:kinsoku/>
        <w:wordWrap/>
        <w:topLinePunct w:val="0"/>
        <w:bidi w:val="0"/>
        <w:adjustRightInd w:val="0"/>
        <w:snapToGrid w:val="0"/>
        <w:spacing w:line="360" w:lineRule="auto"/>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val="en-US" w:eastAsia="zh-CN"/>
        </w:rPr>
        <w:t>六</w:t>
      </w:r>
      <w:r>
        <w:rPr>
          <w:rFonts w:hint="eastAsia" w:asciiTheme="minorEastAsia" w:hAnsiTheme="minorEastAsia" w:eastAsiaTheme="minorEastAsia" w:cstheme="minorEastAsia"/>
          <w:b/>
          <w:color w:val="auto"/>
          <w:sz w:val="21"/>
          <w:szCs w:val="21"/>
          <w:highlight w:val="none"/>
        </w:rPr>
        <w:t>、确定</w:t>
      </w:r>
      <w:r>
        <w:rPr>
          <w:rFonts w:hint="eastAsia" w:asciiTheme="minorEastAsia" w:hAnsiTheme="minorEastAsia" w:eastAsiaTheme="minorEastAsia" w:cstheme="minorEastAsia"/>
          <w:b/>
          <w:color w:val="auto"/>
          <w:sz w:val="21"/>
          <w:szCs w:val="21"/>
          <w:highlight w:val="none"/>
          <w:lang w:eastAsia="zh-CN"/>
        </w:rPr>
        <w:t>中标供应商</w:t>
      </w:r>
    </w:p>
    <w:p w14:paraId="4F8604B4">
      <w:pPr>
        <w:keepNext w:val="0"/>
        <w:keepLines w:val="0"/>
        <w:pageBreakBefore w:val="0"/>
        <w:shd w:val="clear" w:color="auto" w:fill="auto"/>
        <w:kinsoku/>
        <w:wordWrap/>
        <w:topLinePunct w:val="0"/>
        <w:bidi w:val="0"/>
        <w:adjustRightInd w:val="0"/>
        <w:snapToGrid w:val="0"/>
        <w:spacing w:line="36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rPr>
        <w:t>评标结束后，采购人将在浙江政府采购网、温州国企采购平台、</w:t>
      </w:r>
      <w:r>
        <w:rPr>
          <w:rFonts w:hint="eastAsia" w:asciiTheme="minorEastAsia" w:hAnsiTheme="minorEastAsia" w:eastAsiaTheme="minorEastAsia" w:cstheme="minorEastAsia"/>
          <w:color w:val="auto"/>
          <w:sz w:val="21"/>
          <w:szCs w:val="21"/>
          <w:highlight w:val="none"/>
          <w:lang w:eastAsia="zh-CN"/>
        </w:rPr>
        <w:t>温州市交通运输集团有限公司</w:t>
      </w:r>
      <w:r>
        <w:rPr>
          <w:rFonts w:hint="eastAsia" w:asciiTheme="minorEastAsia" w:hAnsiTheme="minorEastAsia" w:eastAsiaTheme="minorEastAsia" w:cstheme="minorEastAsia"/>
          <w:color w:val="auto"/>
          <w:sz w:val="21"/>
          <w:szCs w:val="21"/>
          <w:highlight w:val="none"/>
        </w:rPr>
        <w:t>网站上公示中标结果。公示期结束，且在规定期限内采购代理机构将向</w:t>
      </w:r>
      <w:r>
        <w:rPr>
          <w:rFonts w:hint="eastAsia" w:asciiTheme="minorEastAsia" w:hAnsiTheme="minorEastAsia" w:eastAsiaTheme="minorEastAsia" w:cstheme="minorEastAsia"/>
          <w:color w:val="auto"/>
          <w:sz w:val="21"/>
          <w:szCs w:val="21"/>
          <w:highlight w:val="none"/>
          <w:lang w:eastAsia="zh-CN"/>
        </w:rPr>
        <w:t>中标供应商</w:t>
      </w:r>
      <w:r>
        <w:rPr>
          <w:rFonts w:hint="eastAsia" w:asciiTheme="minorEastAsia" w:hAnsiTheme="minorEastAsia" w:eastAsiaTheme="minorEastAsia" w:cstheme="minorEastAsia"/>
          <w:color w:val="auto"/>
          <w:sz w:val="21"/>
          <w:szCs w:val="21"/>
          <w:highlight w:val="none"/>
        </w:rPr>
        <w:t>发出中标通知书。</w:t>
      </w:r>
    </w:p>
    <w:p w14:paraId="65A213E5">
      <w:pPr>
        <w:keepNext w:val="0"/>
        <w:keepLines w:val="0"/>
        <w:pageBreakBefore w:val="0"/>
        <w:shd w:val="clear" w:color="auto" w:fill="auto"/>
        <w:kinsoku/>
        <w:wordWrap/>
        <w:topLinePunct w:val="0"/>
        <w:bidi w:val="0"/>
        <w:adjustRightInd w:val="0"/>
        <w:snapToGrid w:val="0"/>
        <w:spacing w:line="36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七</w:t>
      </w:r>
      <w:r>
        <w:rPr>
          <w:rFonts w:hint="eastAsia" w:asciiTheme="minorEastAsia" w:hAnsiTheme="minorEastAsia" w:eastAsiaTheme="minorEastAsia" w:cstheme="minorEastAsia"/>
          <w:b/>
          <w:color w:val="auto"/>
          <w:sz w:val="21"/>
          <w:szCs w:val="21"/>
          <w:highlight w:val="none"/>
        </w:rPr>
        <w:t>、投标人义务</w:t>
      </w:r>
    </w:p>
    <w:p w14:paraId="524DC951">
      <w:pPr>
        <w:keepNext w:val="0"/>
        <w:keepLines w:val="0"/>
        <w:pageBreakBefore w:val="0"/>
        <w:shd w:val="clear" w:color="auto" w:fill="auto"/>
        <w:kinsoku/>
        <w:wordWrap/>
        <w:topLinePunct w:val="0"/>
        <w:bidi w:val="0"/>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投标人应随时接受评标委员会的询标，解答包括有关的商务、技术问题等。评标结束，所有评标资料存采购机构备查</w:t>
      </w:r>
      <w:bookmarkEnd w:id="167"/>
      <w:r>
        <w:rPr>
          <w:rFonts w:hint="eastAsia" w:asciiTheme="minorEastAsia" w:hAnsiTheme="minorEastAsia" w:eastAsiaTheme="minorEastAsia" w:cstheme="minorEastAsia"/>
          <w:color w:val="auto"/>
          <w:sz w:val="21"/>
          <w:szCs w:val="21"/>
          <w:highlight w:val="none"/>
        </w:rPr>
        <w:t>。</w:t>
      </w:r>
    </w:p>
    <w:sectPr>
      <w:footerReference r:id="rId7" w:type="first"/>
      <w:footerReference r:id="rId6" w:type="default"/>
      <w:type w:val="continuous"/>
      <w:pgSz w:w="11906" w:h="16838"/>
      <w:pgMar w:top="1134" w:right="1134" w:bottom="1134" w:left="1134" w:header="680" w:footer="680"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Verdana,Arial">
    <w:altName w:val="宋体"/>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00006FF" w:usb1="4000205B" w:usb2="00000010" w:usb3="00000000" w:csb0="2000019F" w:csb1="00000000"/>
  </w:font>
  <w:font w:name="宋体-简">
    <w:altName w:val="宋体"/>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1377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40799">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6E4276">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06E4276">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502F9">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51EB16">
                          <w:pPr>
                            <w:pStyle w:val="21"/>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551EB16">
                    <w:pPr>
                      <w:pStyle w:val="21"/>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42B9F">
    <w:pPr>
      <w:pStyle w:val="2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FE685">
                          <w:pPr>
                            <w:pStyle w:val="2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FAFE685">
                    <w:pPr>
                      <w:pStyle w:val="2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BC5DB">
    <w:pPr>
      <w:pStyle w:val="22"/>
      <w:pBdr>
        <w:bottom w:val="none" w:color="auto" w:sz="0" w:space="1"/>
      </w:pBdr>
      <w:jc w:val="both"/>
      <w:rPr>
        <w:rFonts w:hint="eastAsia"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12E02"/>
    <w:multiLevelType w:val="multilevel"/>
    <w:tmpl w:val="81512E02"/>
    <w:lvl w:ilvl="0" w:tentative="0">
      <w:start w:val="1"/>
      <w:numFmt w:val="none"/>
      <w:lvlText w:val=""/>
      <w:lvlJc w:val="left"/>
      <w:pPr>
        <w:tabs>
          <w:tab w:val="left" w:pos="425"/>
        </w:tabs>
        <w:ind w:left="425" w:hanging="425"/>
      </w:pPr>
      <w:rPr>
        <w:rFonts w:hint="eastAsia"/>
      </w:rPr>
    </w:lvl>
    <w:lvl w:ilvl="1" w:tentative="0">
      <w:start w:val="1"/>
      <w:numFmt w:val="decimal"/>
      <w:lvlText w:val="%13.%2"/>
      <w:lvlJc w:val="left"/>
      <w:pPr>
        <w:tabs>
          <w:tab w:val="left" w:pos="1277"/>
        </w:tabs>
        <w:ind w:left="1277" w:hanging="567"/>
      </w:pPr>
      <w:rPr>
        <w:rFonts w:hint="default" w:ascii="宋体" w:hAnsi="宋体" w:eastAsia="宋体" w:cs="宋体"/>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
    <w:nsid w:val="87B241A1"/>
    <w:multiLevelType w:val="multilevel"/>
    <w:tmpl w:val="87B241A1"/>
    <w:lvl w:ilvl="0" w:tentative="0">
      <w:start w:val="1"/>
      <w:numFmt w:val="none"/>
      <w:lvlText w:val=""/>
      <w:lvlJc w:val="left"/>
      <w:pPr>
        <w:tabs>
          <w:tab w:val="left" w:pos="425"/>
        </w:tabs>
        <w:ind w:left="425" w:hanging="425"/>
      </w:pPr>
      <w:rPr>
        <w:rFonts w:hint="eastAsia"/>
      </w:rPr>
    </w:lvl>
    <w:lvl w:ilvl="1" w:tentative="0">
      <w:start w:val="1"/>
      <w:numFmt w:val="decimal"/>
      <w:lvlText w:val="%14.%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
    <w:nsid w:val="89570C8C"/>
    <w:multiLevelType w:val="singleLevel"/>
    <w:tmpl w:val="89570C8C"/>
    <w:lvl w:ilvl="0" w:tentative="0">
      <w:start w:val="1"/>
      <w:numFmt w:val="decimal"/>
      <w:suff w:val="space"/>
      <w:lvlText w:val="%1)"/>
      <w:lvlJc w:val="left"/>
    </w:lvl>
  </w:abstractNum>
  <w:abstractNum w:abstractNumId="3">
    <w:nsid w:val="A2378A1C"/>
    <w:multiLevelType w:val="singleLevel"/>
    <w:tmpl w:val="A2378A1C"/>
    <w:lvl w:ilvl="0" w:tentative="0">
      <w:start w:val="1"/>
      <w:numFmt w:val="decimal"/>
      <w:suff w:val="nothing"/>
      <w:lvlText w:val="%1、"/>
      <w:lvlJc w:val="left"/>
    </w:lvl>
  </w:abstractNum>
  <w:abstractNum w:abstractNumId="4">
    <w:nsid w:val="B05DF774"/>
    <w:multiLevelType w:val="multilevel"/>
    <w:tmpl w:val="B05DF774"/>
    <w:lvl w:ilvl="0" w:tentative="0">
      <w:start w:val="1"/>
      <w:numFmt w:val="none"/>
      <w:lvlText w:val=""/>
      <w:lvlJc w:val="left"/>
      <w:pPr>
        <w:tabs>
          <w:tab w:val="left" w:pos="425"/>
        </w:tabs>
        <w:ind w:left="425" w:hanging="425"/>
      </w:pPr>
      <w:rPr>
        <w:rFonts w:hint="eastAsia"/>
      </w:rPr>
    </w:lvl>
    <w:lvl w:ilvl="1" w:tentative="0">
      <w:start w:val="1"/>
      <w:numFmt w:val="decimal"/>
      <w:lvlText w:val="%17.%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5">
    <w:nsid w:val="C1531BBF"/>
    <w:multiLevelType w:val="singleLevel"/>
    <w:tmpl w:val="C1531BBF"/>
    <w:lvl w:ilvl="0" w:tentative="0">
      <w:start w:val="1"/>
      <w:numFmt w:val="decimal"/>
      <w:suff w:val="space"/>
      <w:lvlText w:val="%1)"/>
      <w:lvlJc w:val="left"/>
    </w:lvl>
  </w:abstractNum>
  <w:abstractNum w:abstractNumId="6">
    <w:nsid w:val="D5F096DA"/>
    <w:multiLevelType w:val="singleLevel"/>
    <w:tmpl w:val="D5F096DA"/>
    <w:lvl w:ilvl="0" w:tentative="0">
      <w:start w:val="1"/>
      <w:numFmt w:val="decimal"/>
      <w:suff w:val="space"/>
      <w:lvlText w:val="（%1）"/>
      <w:lvlJc w:val="left"/>
    </w:lvl>
  </w:abstractNum>
  <w:abstractNum w:abstractNumId="7">
    <w:nsid w:val="DD397FF7"/>
    <w:multiLevelType w:val="multilevel"/>
    <w:tmpl w:val="DD397FF7"/>
    <w:lvl w:ilvl="0" w:tentative="0">
      <w:start w:val="1"/>
      <w:numFmt w:val="none"/>
      <w:lvlText w:val=""/>
      <w:lvlJc w:val="left"/>
      <w:pPr>
        <w:tabs>
          <w:tab w:val="left" w:pos="425"/>
        </w:tabs>
        <w:ind w:left="425" w:hanging="425"/>
      </w:pPr>
      <w:rPr>
        <w:rFonts w:hint="eastAsia"/>
      </w:rPr>
    </w:lvl>
    <w:lvl w:ilvl="1" w:tentative="0">
      <w:start w:val="1"/>
      <w:numFmt w:val="decimal"/>
      <w:lvlText w:val="%18.%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8">
    <w:nsid w:val="F29D601C"/>
    <w:multiLevelType w:val="singleLevel"/>
    <w:tmpl w:val="F29D601C"/>
    <w:lvl w:ilvl="0" w:tentative="0">
      <w:start w:val="1"/>
      <w:numFmt w:val="decimal"/>
      <w:suff w:val="nothing"/>
      <w:lvlText w:val="（%1）"/>
      <w:lvlJc w:val="left"/>
    </w:lvl>
  </w:abstractNum>
  <w:abstractNum w:abstractNumId="9">
    <w:nsid w:val="F3A62B85"/>
    <w:multiLevelType w:val="multilevel"/>
    <w:tmpl w:val="F3A62B85"/>
    <w:lvl w:ilvl="0" w:tentative="0">
      <w:start w:val="1"/>
      <w:numFmt w:val="none"/>
      <w:lvlText w:val=""/>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0">
    <w:nsid w:val="00000002"/>
    <w:multiLevelType w:val="multilevel"/>
    <w:tmpl w:val="00000002"/>
    <w:lvl w:ilvl="0" w:tentative="0">
      <w:start w:val="1"/>
      <w:numFmt w:val="decimal"/>
      <w:lvlText w:val="%1)"/>
      <w:lvlJc w:val="left"/>
      <w:pPr>
        <w:tabs>
          <w:tab w:val="left" w:pos="780"/>
        </w:tabs>
        <w:ind w:left="780" w:hanging="420"/>
      </w:pPr>
      <w:rPr>
        <w:rFonts w:hint="default" w:ascii="Times New Roman" w:hAnsi="Times New Roman" w:cs="Times New Roman"/>
        <w:b w:val="0"/>
      </w:rPr>
    </w:lvl>
    <w:lvl w:ilvl="1" w:tentative="0">
      <w:start w:val="1"/>
      <w:numFmt w:val="lowerLetter"/>
      <w:lvlText w:val="%2)"/>
      <w:lvlJc w:val="left"/>
      <w:pPr>
        <w:tabs>
          <w:tab w:val="left" w:pos="840"/>
        </w:tabs>
        <w:ind w:left="840" w:hanging="420"/>
      </w:pPr>
      <w:rPr>
        <w:b w:val="0"/>
      </w:rPr>
    </w:lvl>
    <w:lvl w:ilvl="2" w:tentative="0">
      <w:start w:val="1"/>
      <w:numFmt w:val="chineseCountingThousand"/>
      <w:lvlText w:val="(%3)"/>
      <w:lvlJc w:val="left"/>
      <w:pPr>
        <w:tabs>
          <w:tab w:val="left" w:pos="600"/>
        </w:tabs>
        <w:ind w:left="600" w:hanging="420"/>
      </w:pPr>
      <w:rPr>
        <w:rFonts w:hint="eastAsia"/>
        <w:b w:val="0"/>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0A"/>
    <w:multiLevelType w:val="multilevel"/>
    <w:tmpl w:val="0000000A"/>
    <w:lvl w:ilvl="0" w:tentative="0">
      <w:start w:val="1"/>
      <w:numFmt w:val="bullet"/>
      <w:pStyle w:val="74"/>
      <w:lvlText w:val=""/>
      <w:lvlJc w:val="left"/>
      <w:pPr>
        <w:tabs>
          <w:tab w:val="left" w:pos="0"/>
        </w:tabs>
        <w:ind w:left="839" w:hanging="419"/>
      </w:pPr>
      <w:rPr>
        <w:rFonts w:hint="default" w:ascii="Wingdings" w:hAnsi="Wingdings"/>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00000018"/>
    <w:multiLevelType w:val="multilevel"/>
    <w:tmpl w:val="00000018"/>
    <w:lvl w:ilvl="0" w:tentative="0">
      <w:start w:val="1"/>
      <w:numFmt w:val="decimal"/>
      <w:lvlText w:val="%1)"/>
      <w:lvlJc w:val="left"/>
      <w:pPr>
        <w:tabs>
          <w:tab w:val="left" w:pos="530"/>
        </w:tabs>
        <w:ind w:left="530" w:hanging="420"/>
      </w:pPr>
      <w:rPr>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99B5EB4"/>
    <w:multiLevelType w:val="singleLevel"/>
    <w:tmpl w:val="199B5EB4"/>
    <w:lvl w:ilvl="0" w:tentative="0">
      <w:start w:val="1"/>
      <w:numFmt w:val="decimal"/>
      <w:suff w:val="nothing"/>
      <w:lvlText w:val="（%1）"/>
      <w:lvlJc w:val="left"/>
    </w:lvl>
  </w:abstractNum>
  <w:abstractNum w:abstractNumId="14">
    <w:nsid w:val="1B4DDF5A"/>
    <w:multiLevelType w:val="multilevel"/>
    <w:tmpl w:val="1B4DDF5A"/>
    <w:lvl w:ilvl="0" w:tentative="0">
      <w:start w:val="1"/>
      <w:numFmt w:val="none"/>
      <w:lvlText w:val=""/>
      <w:lvlJc w:val="left"/>
      <w:pPr>
        <w:tabs>
          <w:tab w:val="left" w:pos="425"/>
        </w:tabs>
        <w:ind w:left="425" w:hanging="425"/>
      </w:pPr>
      <w:rPr>
        <w:rFonts w:hint="eastAsia"/>
      </w:rPr>
    </w:lvl>
    <w:lvl w:ilvl="1" w:tentative="0">
      <w:start w:val="1"/>
      <w:numFmt w:val="decimal"/>
      <w:lvlText w:val="%15.%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5">
    <w:nsid w:val="3752DEAC"/>
    <w:multiLevelType w:val="multilevel"/>
    <w:tmpl w:val="3752DEAC"/>
    <w:lvl w:ilvl="0" w:tentative="0">
      <w:start w:val="1"/>
      <w:numFmt w:val="none"/>
      <w:lvlText w:val=""/>
      <w:lvlJc w:val="left"/>
      <w:pPr>
        <w:tabs>
          <w:tab w:val="left" w:pos="425"/>
        </w:tabs>
        <w:ind w:left="425" w:hanging="425"/>
      </w:pPr>
      <w:rPr>
        <w:rFonts w:hint="eastAsia"/>
      </w:rPr>
    </w:lvl>
    <w:lvl w:ilvl="1" w:tentative="0">
      <w:start w:val="1"/>
      <w:numFmt w:val="decimal"/>
      <w:lvlText w:val="%13.%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6">
    <w:nsid w:val="37B4C949"/>
    <w:multiLevelType w:val="multilevel"/>
    <w:tmpl w:val="37B4C949"/>
    <w:lvl w:ilvl="0" w:tentative="0">
      <w:start w:val="1"/>
      <w:numFmt w:val="none"/>
      <w:lvlText w:val=""/>
      <w:lvlJc w:val="left"/>
      <w:pPr>
        <w:tabs>
          <w:tab w:val="left" w:pos="425"/>
        </w:tabs>
        <w:ind w:left="425" w:hanging="425"/>
      </w:pPr>
      <w:rPr>
        <w:rFonts w:hint="eastAsia"/>
      </w:rPr>
    </w:lvl>
    <w:lvl w:ilvl="1" w:tentative="0">
      <w:start w:val="1"/>
      <w:numFmt w:val="decimal"/>
      <w:lvlText w:val="%15.%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7">
    <w:nsid w:val="37EC23ED"/>
    <w:multiLevelType w:val="multilevel"/>
    <w:tmpl w:val="37EC23ED"/>
    <w:lvl w:ilvl="0" w:tentative="0">
      <w:start w:val="1"/>
      <w:numFmt w:val="none"/>
      <w:lvlText w:val=""/>
      <w:lvlJc w:val="left"/>
      <w:pPr>
        <w:tabs>
          <w:tab w:val="left" w:pos="425"/>
        </w:tabs>
        <w:ind w:left="425" w:hanging="425"/>
      </w:pPr>
      <w:rPr>
        <w:rFonts w:hint="eastAsia"/>
      </w:rPr>
    </w:lvl>
    <w:lvl w:ilvl="1" w:tentative="0">
      <w:start w:val="1"/>
      <w:numFmt w:val="decimal"/>
      <w:lvlText w:val="%12.%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8">
    <w:nsid w:val="5C7F1C14"/>
    <w:multiLevelType w:val="singleLevel"/>
    <w:tmpl w:val="5C7F1C14"/>
    <w:lvl w:ilvl="0" w:tentative="0">
      <w:start w:val="1"/>
      <w:numFmt w:val="decimal"/>
      <w:suff w:val="nothing"/>
      <w:lvlText w:val="%1、"/>
      <w:lvlJc w:val="left"/>
    </w:lvl>
  </w:abstractNum>
  <w:abstractNum w:abstractNumId="19">
    <w:nsid w:val="6D4E88F0"/>
    <w:multiLevelType w:val="singleLevel"/>
    <w:tmpl w:val="6D4E88F0"/>
    <w:lvl w:ilvl="0" w:tentative="0">
      <w:start w:val="1"/>
      <w:numFmt w:val="decimal"/>
      <w:suff w:val="nothing"/>
      <w:lvlText w:val="%1）"/>
      <w:lvlJc w:val="left"/>
    </w:lvl>
  </w:abstractNum>
  <w:num w:numId="1">
    <w:abstractNumId w:val="11"/>
    <w:lvlOverride w:ilvl="0">
      <w:startOverride w:val="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2"/>
  </w:num>
  <w:num w:numId="4">
    <w:abstractNumId w:val="16"/>
  </w:num>
  <w:num w:numId="5">
    <w:abstractNumId w:val="4"/>
  </w:num>
  <w:num w:numId="6">
    <w:abstractNumId w:val="7"/>
  </w:num>
  <w:num w:numId="7">
    <w:abstractNumId w:val="9"/>
  </w:num>
  <w:num w:numId="8">
    <w:abstractNumId w:val="17"/>
  </w:num>
  <w:num w:numId="9">
    <w:abstractNumId w:val="15"/>
  </w:num>
  <w:num w:numId="10">
    <w:abstractNumId w:val="0"/>
  </w:num>
  <w:num w:numId="11">
    <w:abstractNumId w:val="2"/>
  </w:num>
  <w:num w:numId="12">
    <w:abstractNumId w:val="13"/>
  </w:num>
  <w:num w:numId="13">
    <w:abstractNumId w:val="5"/>
  </w:num>
  <w:num w:numId="14">
    <w:abstractNumId w:val="8"/>
  </w:num>
  <w:num w:numId="15">
    <w:abstractNumId w:val="6"/>
  </w:num>
  <w:num w:numId="16">
    <w:abstractNumId w:val="1"/>
  </w:num>
  <w:num w:numId="17">
    <w:abstractNumId w:val="14"/>
  </w:num>
  <w:num w:numId="18">
    <w:abstractNumId w:val="19"/>
  </w:num>
  <w:num w:numId="19">
    <w:abstractNumId w:val="1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2YzUxZmZlMmEzMmRhMDY2MzIwNDMyMmNlNzIzNDgifQ=="/>
  </w:docVars>
  <w:rsids>
    <w:rsidRoot w:val="00172A27"/>
    <w:rsid w:val="000009F5"/>
    <w:rsid w:val="00001380"/>
    <w:rsid w:val="00002CB1"/>
    <w:rsid w:val="00002F77"/>
    <w:rsid w:val="0000340D"/>
    <w:rsid w:val="00003A66"/>
    <w:rsid w:val="000045E7"/>
    <w:rsid w:val="00005043"/>
    <w:rsid w:val="000053C0"/>
    <w:rsid w:val="00005E2A"/>
    <w:rsid w:val="000066EF"/>
    <w:rsid w:val="00006E3C"/>
    <w:rsid w:val="000071A2"/>
    <w:rsid w:val="00007B7D"/>
    <w:rsid w:val="00010F67"/>
    <w:rsid w:val="00011067"/>
    <w:rsid w:val="0001120F"/>
    <w:rsid w:val="0001322E"/>
    <w:rsid w:val="00013439"/>
    <w:rsid w:val="00013F2B"/>
    <w:rsid w:val="00014C8E"/>
    <w:rsid w:val="00015251"/>
    <w:rsid w:val="00015432"/>
    <w:rsid w:val="000157E0"/>
    <w:rsid w:val="00016969"/>
    <w:rsid w:val="000174A7"/>
    <w:rsid w:val="00017D7F"/>
    <w:rsid w:val="000221D6"/>
    <w:rsid w:val="00022A42"/>
    <w:rsid w:val="000237A7"/>
    <w:rsid w:val="000238E0"/>
    <w:rsid w:val="00023A93"/>
    <w:rsid w:val="00023AF0"/>
    <w:rsid w:val="00024929"/>
    <w:rsid w:val="00025CDD"/>
    <w:rsid w:val="00026538"/>
    <w:rsid w:val="00026C3B"/>
    <w:rsid w:val="00030937"/>
    <w:rsid w:val="000345EB"/>
    <w:rsid w:val="00034BF8"/>
    <w:rsid w:val="00035490"/>
    <w:rsid w:val="00035750"/>
    <w:rsid w:val="00035BA0"/>
    <w:rsid w:val="00035BB6"/>
    <w:rsid w:val="00035CCB"/>
    <w:rsid w:val="00035E87"/>
    <w:rsid w:val="00040402"/>
    <w:rsid w:val="00041329"/>
    <w:rsid w:val="00042CDD"/>
    <w:rsid w:val="00042E2F"/>
    <w:rsid w:val="00043F27"/>
    <w:rsid w:val="000460A9"/>
    <w:rsid w:val="0005052D"/>
    <w:rsid w:val="000506B4"/>
    <w:rsid w:val="00050A66"/>
    <w:rsid w:val="00051166"/>
    <w:rsid w:val="000513D6"/>
    <w:rsid w:val="000515F3"/>
    <w:rsid w:val="00052EC4"/>
    <w:rsid w:val="00053B42"/>
    <w:rsid w:val="000548DE"/>
    <w:rsid w:val="00054D5C"/>
    <w:rsid w:val="00054FC6"/>
    <w:rsid w:val="000555DD"/>
    <w:rsid w:val="000560AE"/>
    <w:rsid w:val="00056A77"/>
    <w:rsid w:val="00060505"/>
    <w:rsid w:val="000611E3"/>
    <w:rsid w:val="00061E3B"/>
    <w:rsid w:val="000622C1"/>
    <w:rsid w:val="0006249E"/>
    <w:rsid w:val="0006286C"/>
    <w:rsid w:val="0006334B"/>
    <w:rsid w:val="000637C1"/>
    <w:rsid w:val="00063E50"/>
    <w:rsid w:val="0006448F"/>
    <w:rsid w:val="00066DA0"/>
    <w:rsid w:val="000722C5"/>
    <w:rsid w:val="00072310"/>
    <w:rsid w:val="0007247B"/>
    <w:rsid w:val="00073304"/>
    <w:rsid w:val="00074B78"/>
    <w:rsid w:val="00076536"/>
    <w:rsid w:val="00077B42"/>
    <w:rsid w:val="0008019F"/>
    <w:rsid w:val="000802BB"/>
    <w:rsid w:val="000803DE"/>
    <w:rsid w:val="00081E28"/>
    <w:rsid w:val="0008207A"/>
    <w:rsid w:val="00082463"/>
    <w:rsid w:val="000832C8"/>
    <w:rsid w:val="000861D1"/>
    <w:rsid w:val="00087F08"/>
    <w:rsid w:val="00091281"/>
    <w:rsid w:val="000930EA"/>
    <w:rsid w:val="00094254"/>
    <w:rsid w:val="0009425F"/>
    <w:rsid w:val="00095314"/>
    <w:rsid w:val="000968BD"/>
    <w:rsid w:val="00096ABD"/>
    <w:rsid w:val="000A1983"/>
    <w:rsid w:val="000A20B7"/>
    <w:rsid w:val="000A2C95"/>
    <w:rsid w:val="000A328D"/>
    <w:rsid w:val="000A34ED"/>
    <w:rsid w:val="000A4DF8"/>
    <w:rsid w:val="000A5466"/>
    <w:rsid w:val="000A5ADF"/>
    <w:rsid w:val="000A63F5"/>
    <w:rsid w:val="000A7715"/>
    <w:rsid w:val="000A7842"/>
    <w:rsid w:val="000B09D6"/>
    <w:rsid w:val="000B1182"/>
    <w:rsid w:val="000B1199"/>
    <w:rsid w:val="000B2DBA"/>
    <w:rsid w:val="000B329E"/>
    <w:rsid w:val="000B36A7"/>
    <w:rsid w:val="000B3735"/>
    <w:rsid w:val="000B3D28"/>
    <w:rsid w:val="000B5341"/>
    <w:rsid w:val="000B5A18"/>
    <w:rsid w:val="000B5DD6"/>
    <w:rsid w:val="000B5E7A"/>
    <w:rsid w:val="000B5FCA"/>
    <w:rsid w:val="000B6DFD"/>
    <w:rsid w:val="000C1FE0"/>
    <w:rsid w:val="000C30A9"/>
    <w:rsid w:val="000C362B"/>
    <w:rsid w:val="000C6761"/>
    <w:rsid w:val="000C6EB6"/>
    <w:rsid w:val="000C7809"/>
    <w:rsid w:val="000C7CBF"/>
    <w:rsid w:val="000D0E22"/>
    <w:rsid w:val="000D4A4C"/>
    <w:rsid w:val="000D6A11"/>
    <w:rsid w:val="000D73D9"/>
    <w:rsid w:val="000E10DB"/>
    <w:rsid w:val="000E246A"/>
    <w:rsid w:val="000E2A62"/>
    <w:rsid w:val="000E3530"/>
    <w:rsid w:val="000E39D6"/>
    <w:rsid w:val="000E568F"/>
    <w:rsid w:val="000E6B70"/>
    <w:rsid w:val="000E75FB"/>
    <w:rsid w:val="000F0294"/>
    <w:rsid w:val="000F05DD"/>
    <w:rsid w:val="000F1FBE"/>
    <w:rsid w:val="000F2728"/>
    <w:rsid w:val="000F3619"/>
    <w:rsid w:val="000F45D0"/>
    <w:rsid w:val="000F5EF5"/>
    <w:rsid w:val="000F6410"/>
    <w:rsid w:val="000F79A4"/>
    <w:rsid w:val="000F7AE5"/>
    <w:rsid w:val="000F7C73"/>
    <w:rsid w:val="00101644"/>
    <w:rsid w:val="00101AC0"/>
    <w:rsid w:val="001020F4"/>
    <w:rsid w:val="001030C6"/>
    <w:rsid w:val="00103513"/>
    <w:rsid w:val="00103AD8"/>
    <w:rsid w:val="0010568D"/>
    <w:rsid w:val="001064A6"/>
    <w:rsid w:val="0010684A"/>
    <w:rsid w:val="00111213"/>
    <w:rsid w:val="00112030"/>
    <w:rsid w:val="0011478A"/>
    <w:rsid w:val="001156FE"/>
    <w:rsid w:val="00115C9F"/>
    <w:rsid w:val="00115E23"/>
    <w:rsid w:val="00121204"/>
    <w:rsid w:val="00123BAD"/>
    <w:rsid w:val="00123E7C"/>
    <w:rsid w:val="0012578C"/>
    <w:rsid w:val="00125E27"/>
    <w:rsid w:val="00125FA5"/>
    <w:rsid w:val="001263CA"/>
    <w:rsid w:val="001265A0"/>
    <w:rsid w:val="001266BF"/>
    <w:rsid w:val="0012709F"/>
    <w:rsid w:val="00127F4D"/>
    <w:rsid w:val="00130AF0"/>
    <w:rsid w:val="00131E83"/>
    <w:rsid w:val="0013221F"/>
    <w:rsid w:val="001325EF"/>
    <w:rsid w:val="00132C17"/>
    <w:rsid w:val="00133211"/>
    <w:rsid w:val="00133B07"/>
    <w:rsid w:val="00134351"/>
    <w:rsid w:val="001367AF"/>
    <w:rsid w:val="0013760C"/>
    <w:rsid w:val="00137753"/>
    <w:rsid w:val="001377FC"/>
    <w:rsid w:val="00137F40"/>
    <w:rsid w:val="00140223"/>
    <w:rsid w:val="001402F5"/>
    <w:rsid w:val="00141798"/>
    <w:rsid w:val="00143117"/>
    <w:rsid w:val="001435C0"/>
    <w:rsid w:val="00143A6A"/>
    <w:rsid w:val="0014546D"/>
    <w:rsid w:val="00146114"/>
    <w:rsid w:val="00147822"/>
    <w:rsid w:val="0014791A"/>
    <w:rsid w:val="00150632"/>
    <w:rsid w:val="00150861"/>
    <w:rsid w:val="00150AA7"/>
    <w:rsid w:val="001528EB"/>
    <w:rsid w:val="00155310"/>
    <w:rsid w:val="00156F66"/>
    <w:rsid w:val="00157F4D"/>
    <w:rsid w:val="001601F3"/>
    <w:rsid w:val="0016030B"/>
    <w:rsid w:val="00160895"/>
    <w:rsid w:val="00160F60"/>
    <w:rsid w:val="00161AF3"/>
    <w:rsid w:val="00161CFC"/>
    <w:rsid w:val="00161EA2"/>
    <w:rsid w:val="00162A58"/>
    <w:rsid w:val="00162E8F"/>
    <w:rsid w:val="001632E9"/>
    <w:rsid w:val="00163C20"/>
    <w:rsid w:val="0016505B"/>
    <w:rsid w:val="001671DC"/>
    <w:rsid w:val="0016795B"/>
    <w:rsid w:val="0017045C"/>
    <w:rsid w:val="00171140"/>
    <w:rsid w:val="0017187B"/>
    <w:rsid w:val="00174EB3"/>
    <w:rsid w:val="00175520"/>
    <w:rsid w:val="0017648D"/>
    <w:rsid w:val="00177AE7"/>
    <w:rsid w:val="00180634"/>
    <w:rsid w:val="001831C1"/>
    <w:rsid w:val="00183F0E"/>
    <w:rsid w:val="00184846"/>
    <w:rsid w:val="00186674"/>
    <w:rsid w:val="001866ED"/>
    <w:rsid w:val="00186B4B"/>
    <w:rsid w:val="00186E54"/>
    <w:rsid w:val="00187CAD"/>
    <w:rsid w:val="00191D9B"/>
    <w:rsid w:val="00192E60"/>
    <w:rsid w:val="00193B17"/>
    <w:rsid w:val="0019491C"/>
    <w:rsid w:val="0019588E"/>
    <w:rsid w:val="00195B99"/>
    <w:rsid w:val="00195C4F"/>
    <w:rsid w:val="00195D0A"/>
    <w:rsid w:val="00196551"/>
    <w:rsid w:val="00197748"/>
    <w:rsid w:val="00197786"/>
    <w:rsid w:val="00197E7B"/>
    <w:rsid w:val="001A08CC"/>
    <w:rsid w:val="001A0B61"/>
    <w:rsid w:val="001A300A"/>
    <w:rsid w:val="001A30EE"/>
    <w:rsid w:val="001A3259"/>
    <w:rsid w:val="001A370B"/>
    <w:rsid w:val="001A57FA"/>
    <w:rsid w:val="001A6C5A"/>
    <w:rsid w:val="001A70FD"/>
    <w:rsid w:val="001A74D4"/>
    <w:rsid w:val="001A7D03"/>
    <w:rsid w:val="001B1B9B"/>
    <w:rsid w:val="001B2696"/>
    <w:rsid w:val="001B28CB"/>
    <w:rsid w:val="001B335C"/>
    <w:rsid w:val="001B3684"/>
    <w:rsid w:val="001B45D2"/>
    <w:rsid w:val="001B4606"/>
    <w:rsid w:val="001B5B34"/>
    <w:rsid w:val="001B67CC"/>
    <w:rsid w:val="001B7F0E"/>
    <w:rsid w:val="001C0431"/>
    <w:rsid w:val="001C0CC7"/>
    <w:rsid w:val="001C239E"/>
    <w:rsid w:val="001C2E53"/>
    <w:rsid w:val="001C4201"/>
    <w:rsid w:val="001C488D"/>
    <w:rsid w:val="001C59DF"/>
    <w:rsid w:val="001C5EFC"/>
    <w:rsid w:val="001C6F26"/>
    <w:rsid w:val="001C79BA"/>
    <w:rsid w:val="001D11DE"/>
    <w:rsid w:val="001D2CF5"/>
    <w:rsid w:val="001D3384"/>
    <w:rsid w:val="001D3FC7"/>
    <w:rsid w:val="001D63C0"/>
    <w:rsid w:val="001D6B9A"/>
    <w:rsid w:val="001D711C"/>
    <w:rsid w:val="001D76AB"/>
    <w:rsid w:val="001E013B"/>
    <w:rsid w:val="001E0520"/>
    <w:rsid w:val="001E27F0"/>
    <w:rsid w:val="001E3314"/>
    <w:rsid w:val="001E376F"/>
    <w:rsid w:val="001E3D63"/>
    <w:rsid w:val="001E5349"/>
    <w:rsid w:val="001E6331"/>
    <w:rsid w:val="001E636B"/>
    <w:rsid w:val="001E726C"/>
    <w:rsid w:val="001E75E7"/>
    <w:rsid w:val="001E7C71"/>
    <w:rsid w:val="001F169F"/>
    <w:rsid w:val="001F24A5"/>
    <w:rsid w:val="001F362D"/>
    <w:rsid w:val="001F3B6E"/>
    <w:rsid w:val="001F430D"/>
    <w:rsid w:val="001F5985"/>
    <w:rsid w:val="001F69BE"/>
    <w:rsid w:val="00200121"/>
    <w:rsid w:val="00201E84"/>
    <w:rsid w:val="00201FC4"/>
    <w:rsid w:val="0020284A"/>
    <w:rsid w:val="00204388"/>
    <w:rsid w:val="00205213"/>
    <w:rsid w:val="00210979"/>
    <w:rsid w:val="00211497"/>
    <w:rsid w:val="00212117"/>
    <w:rsid w:val="002136D4"/>
    <w:rsid w:val="00213866"/>
    <w:rsid w:val="00214475"/>
    <w:rsid w:val="00216E04"/>
    <w:rsid w:val="0021781B"/>
    <w:rsid w:val="00217D2B"/>
    <w:rsid w:val="00217E22"/>
    <w:rsid w:val="00220A8C"/>
    <w:rsid w:val="00220B37"/>
    <w:rsid w:val="00221867"/>
    <w:rsid w:val="00221D63"/>
    <w:rsid w:val="002225DC"/>
    <w:rsid w:val="002229B6"/>
    <w:rsid w:val="002241B4"/>
    <w:rsid w:val="00224B8F"/>
    <w:rsid w:val="00225A9E"/>
    <w:rsid w:val="00225F76"/>
    <w:rsid w:val="0022642C"/>
    <w:rsid w:val="00226492"/>
    <w:rsid w:val="002267E5"/>
    <w:rsid w:val="00227916"/>
    <w:rsid w:val="00231563"/>
    <w:rsid w:val="00231733"/>
    <w:rsid w:val="002352A0"/>
    <w:rsid w:val="002357FB"/>
    <w:rsid w:val="002358F4"/>
    <w:rsid w:val="002376C6"/>
    <w:rsid w:val="00240C65"/>
    <w:rsid w:val="00241194"/>
    <w:rsid w:val="00241F03"/>
    <w:rsid w:val="00242271"/>
    <w:rsid w:val="00242778"/>
    <w:rsid w:val="00242A63"/>
    <w:rsid w:val="00242B3E"/>
    <w:rsid w:val="00243AC5"/>
    <w:rsid w:val="00243B0E"/>
    <w:rsid w:val="00244F16"/>
    <w:rsid w:val="002461EE"/>
    <w:rsid w:val="00246422"/>
    <w:rsid w:val="0024766D"/>
    <w:rsid w:val="0024772A"/>
    <w:rsid w:val="00250036"/>
    <w:rsid w:val="0025035F"/>
    <w:rsid w:val="00251A22"/>
    <w:rsid w:val="0025244C"/>
    <w:rsid w:val="00254330"/>
    <w:rsid w:val="00254697"/>
    <w:rsid w:val="00254A99"/>
    <w:rsid w:val="00255BBE"/>
    <w:rsid w:val="00256997"/>
    <w:rsid w:val="00256D8D"/>
    <w:rsid w:val="00260378"/>
    <w:rsid w:val="00262E17"/>
    <w:rsid w:val="00263C46"/>
    <w:rsid w:val="002652D9"/>
    <w:rsid w:val="002659A6"/>
    <w:rsid w:val="00265A5E"/>
    <w:rsid w:val="0026651F"/>
    <w:rsid w:val="00266CE8"/>
    <w:rsid w:val="0026723C"/>
    <w:rsid w:val="0027041E"/>
    <w:rsid w:val="00271CD0"/>
    <w:rsid w:val="00272CB0"/>
    <w:rsid w:val="002730B7"/>
    <w:rsid w:val="00273BA2"/>
    <w:rsid w:val="002740B9"/>
    <w:rsid w:val="00274A31"/>
    <w:rsid w:val="00275332"/>
    <w:rsid w:val="0027569A"/>
    <w:rsid w:val="00275C95"/>
    <w:rsid w:val="002770B7"/>
    <w:rsid w:val="00277460"/>
    <w:rsid w:val="002804CE"/>
    <w:rsid w:val="00280A65"/>
    <w:rsid w:val="00280FEF"/>
    <w:rsid w:val="0028109A"/>
    <w:rsid w:val="0028126F"/>
    <w:rsid w:val="00281DDC"/>
    <w:rsid w:val="00281FBE"/>
    <w:rsid w:val="00282FD5"/>
    <w:rsid w:val="00283114"/>
    <w:rsid w:val="002835DD"/>
    <w:rsid w:val="00284BFC"/>
    <w:rsid w:val="00286DD8"/>
    <w:rsid w:val="0029043C"/>
    <w:rsid w:val="00291B72"/>
    <w:rsid w:val="00291D32"/>
    <w:rsid w:val="00292455"/>
    <w:rsid w:val="00292814"/>
    <w:rsid w:val="00293606"/>
    <w:rsid w:val="00294454"/>
    <w:rsid w:val="002957D7"/>
    <w:rsid w:val="00295F60"/>
    <w:rsid w:val="0029658E"/>
    <w:rsid w:val="00297173"/>
    <w:rsid w:val="00297E08"/>
    <w:rsid w:val="002A051B"/>
    <w:rsid w:val="002A2BC7"/>
    <w:rsid w:val="002A3431"/>
    <w:rsid w:val="002A4A0D"/>
    <w:rsid w:val="002A6BD5"/>
    <w:rsid w:val="002B038E"/>
    <w:rsid w:val="002B1C31"/>
    <w:rsid w:val="002B2154"/>
    <w:rsid w:val="002B41F4"/>
    <w:rsid w:val="002B4A6A"/>
    <w:rsid w:val="002B4D23"/>
    <w:rsid w:val="002B5B35"/>
    <w:rsid w:val="002C26CC"/>
    <w:rsid w:val="002C305D"/>
    <w:rsid w:val="002C3295"/>
    <w:rsid w:val="002C3CF6"/>
    <w:rsid w:val="002C4012"/>
    <w:rsid w:val="002C6AE5"/>
    <w:rsid w:val="002D1214"/>
    <w:rsid w:val="002D227E"/>
    <w:rsid w:val="002D2535"/>
    <w:rsid w:val="002D3563"/>
    <w:rsid w:val="002D3D89"/>
    <w:rsid w:val="002D3DDA"/>
    <w:rsid w:val="002D6CCA"/>
    <w:rsid w:val="002D7D4C"/>
    <w:rsid w:val="002E09BA"/>
    <w:rsid w:val="002E12E1"/>
    <w:rsid w:val="002E1F1D"/>
    <w:rsid w:val="002E215E"/>
    <w:rsid w:val="002E21EC"/>
    <w:rsid w:val="002E3588"/>
    <w:rsid w:val="002E414F"/>
    <w:rsid w:val="002E4D98"/>
    <w:rsid w:val="002E4FC2"/>
    <w:rsid w:val="002E621E"/>
    <w:rsid w:val="002E6890"/>
    <w:rsid w:val="002E7FC6"/>
    <w:rsid w:val="002F0C82"/>
    <w:rsid w:val="002F2128"/>
    <w:rsid w:val="002F2CC3"/>
    <w:rsid w:val="002F2D4B"/>
    <w:rsid w:val="002F31D8"/>
    <w:rsid w:val="002F4CE2"/>
    <w:rsid w:val="002F4EE5"/>
    <w:rsid w:val="002F6F42"/>
    <w:rsid w:val="0030021B"/>
    <w:rsid w:val="003005E8"/>
    <w:rsid w:val="00300D84"/>
    <w:rsid w:val="00301FE0"/>
    <w:rsid w:val="0030340C"/>
    <w:rsid w:val="003051A4"/>
    <w:rsid w:val="00306C91"/>
    <w:rsid w:val="00307EEB"/>
    <w:rsid w:val="00307F4F"/>
    <w:rsid w:val="00310B99"/>
    <w:rsid w:val="00311CAC"/>
    <w:rsid w:val="003125C4"/>
    <w:rsid w:val="003134AC"/>
    <w:rsid w:val="00313693"/>
    <w:rsid w:val="00314DC2"/>
    <w:rsid w:val="0031541C"/>
    <w:rsid w:val="00315C51"/>
    <w:rsid w:val="00316675"/>
    <w:rsid w:val="00316A41"/>
    <w:rsid w:val="003202BA"/>
    <w:rsid w:val="003205E8"/>
    <w:rsid w:val="0032092A"/>
    <w:rsid w:val="0032241D"/>
    <w:rsid w:val="003227D9"/>
    <w:rsid w:val="0032395C"/>
    <w:rsid w:val="00325D8E"/>
    <w:rsid w:val="0032701D"/>
    <w:rsid w:val="0032712D"/>
    <w:rsid w:val="00327527"/>
    <w:rsid w:val="003276D1"/>
    <w:rsid w:val="003316FD"/>
    <w:rsid w:val="00331756"/>
    <w:rsid w:val="00333B48"/>
    <w:rsid w:val="00334E84"/>
    <w:rsid w:val="00335FD1"/>
    <w:rsid w:val="0033603E"/>
    <w:rsid w:val="003409C2"/>
    <w:rsid w:val="00341BF5"/>
    <w:rsid w:val="00342FBD"/>
    <w:rsid w:val="0034506F"/>
    <w:rsid w:val="00346D10"/>
    <w:rsid w:val="00347593"/>
    <w:rsid w:val="003475ED"/>
    <w:rsid w:val="00347A0A"/>
    <w:rsid w:val="00350B66"/>
    <w:rsid w:val="00350E2E"/>
    <w:rsid w:val="0035114B"/>
    <w:rsid w:val="00351799"/>
    <w:rsid w:val="00351EC5"/>
    <w:rsid w:val="003527E3"/>
    <w:rsid w:val="003564E1"/>
    <w:rsid w:val="00356C77"/>
    <w:rsid w:val="00356CE8"/>
    <w:rsid w:val="00356D20"/>
    <w:rsid w:val="00360AC5"/>
    <w:rsid w:val="00360BC0"/>
    <w:rsid w:val="00361E7B"/>
    <w:rsid w:val="00362A3D"/>
    <w:rsid w:val="00363482"/>
    <w:rsid w:val="00363A65"/>
    <w:rsid w:val="00364206"/>
    <w:rsid w:val="0036448F"/>
    <w:rsid w:val="003676A9"/>
    <w:rsid w:val="003706F7"/>
    <w:rsid w:val="00371787"/>
    <w:rsid w:val="00371850"/>
    <w:rsid w:val="00371F2C"/>
    <w:rsid w:val="00372732"/>
    <w:rsid w:val="00372A07"/>
    <w:rsid w:val="00372CDC"/>
    <w:rsid w:val="00372D8B"/>
    <w:rsid w:val="003748DC"/>
    <w:rsid w:val="0037534C"/>
    <w:rsid w:val="00375AEB"/>
    <w:rsid w:val="0037609C"/>
    <w:rsid w:val="00377510"/>
    <w:rsid w:val="00377C5F"/>
    <w:rsid w:val="003802B8"/>
    <w:rsid w:val="00381DB0"/>
    <w:rsid w:val="00383814"/>
    <w:rsid w:val="00383844"/>
    <w:rsid w:val="00384395"/>
    <w:rsid w:val="00384768"/>
    <w:rsid w:val="0038509B"/>
    <w:rsid w:val="00385288"/>
    <w:rsid w:val="00385F49"/>
    <w:rsid w:val="00385FF4"/>
    <w:rsid w:val="00390522"/>
    <w:rsid w:val="00391BB8"/>
    <w:rsid w:val="00391F5D"/>
    <w:rsid w:val="00393724"/>
    <w:rsid w:val="003945D9"/>
    <w:rsid w:val="00395497"/>
    <w:rsid w:val="00396386"/>
    <w:rsid w:val="003A0DB0"/>
    <w:rsid w:val="003A10E2"/>
    <w:rsid w:val="003A1B28"/>
    <w:rsid w:val="003A23EF"/>
    <w:rsid w:val="003A445D"/>
    <w:rsid w:val="003A4479"/>
    <w:rsid w:val="003A5399"/>
    <w:rsid w:val="003A59F7"/>
    <w:rsid w:val="003A5B10"/>
    <w:rsid w:val="003A5FE4"/>
    <w:rsid w:val="003A6AC6"/>
    <w:rsid w:val="003A6F84"/>
    <w:rsid w:val="003A7329"/>
    <w:rsid w:val="003B0436"/>
    <w:rsid w:val="003B0B28"/>
    <w:rsid w:val="003B0BF0"/>
    <w:rsid w:val="003B0FD4"/>
    <w:rsid w:val="003B134F"/>
    <w:rsid w:val="003B1AFB"/>
    <w:rsid w:val="003B2058"/>
    <w:rsid w:val="003B316A"/>
    <w:rsid w:val="003B3456"/>
    <w:rsid w:val="003B352A"/>
    <w:rsid w:val="003B3CE7"/>
    <w:rsid w:val="003B4F56"/>
    <w:rsid w:val="003B5792"/>
    <w:rsid w:val="003B5C88"/>
    <w:rsid w:val="003B69CA"/>
    <w:rsid w:val="003B6DAD"/>
    <w:rsid w:val="003B7005"/>
    <w:rsid w:val="003B7911"/>
    <w:rsid w:val="003C1C86"/>
    <w:rsid w:val="003C22CE"/>
    <w:rsid w:val="003C2511"/>
    <w:rsid w:val="003C527B"/>
    <w:rsid w:val="003C5441"/>
    <w:rsid w:val="003C558B"/>
    <w:rsid w:val="003C5F9D"/>
    <w:rsid w:val="003C66ED"/>
    <w:rsid w:val="003C6940"/>
    <w:rsid w:val="003C7017"/>
    <w:rsid w:val="003C7F0C"/>
    <w:rsid w:val="003D06B1"/>
    <w:rsid w:val="003D0900"/>
    <w:rsid w:val="003D1EC8"/>
    <w:rsid w:val="003D463E"/>
    <w:rsid w:val="003D49ED"/>
    <w:rsid w:val="003D5F6F"/>
    <w:rsid w:val="003D7CE8"/>
    <w:rsid w:val="003E1388"/>
    <w:rsid w:val="003E1FB3"/>
    <w:rsid w:val="003E25BE"/>
    <w:rsid w:val="003E31BF"/>
    <w:rsid w:val="003E31FB"/>
    <w:rsid w:val="003E3905"/>
    <w:rsid w:val="003E3CFF"/>
    <w:rsid w:val="003E50DF"/>
    <w:rsid w:val="003E73A5"/>
    <w:rsid w:val="003E7E19"/>
    <w:rsid w:val="003F1618"/>
    <w:rsid w:val="003F1C91"/>
    <w:rsid w:val="003F1D74"/>
    <w:rsid w:val="003F1DEC"/>
    <w:rsid w:val="003F21CF"/>
    <w:rsid w:val="003F279A"/>
    <w:rsid w:val="003F2D05"/>
    <w:rsid w:val="003F3104"/>
    <w:rsid w:val="003F46CF"/>
    <w:rsid w:val="003F5868"/>
    <w:rsid w:val="003F63F7"/>
    <w:rsid w:val="003F6529"/>
    <w:rsid w:val="003F6C73"/>
    <w:rsid w:val="00400383"/>
    <w:rsid w:val="004007AE"/>
    <w:rsid w:val="00401278"/>
    <w:rsid w:val="0040168C"/>
    <w:rsid w:val="00401AFB"/>
    <w:rsid w:val="00403D22"/>
    <w:rsid w:val="00404353"/>
    <w:rsid w:val="004059C0"/>
    <w:rsid w:val="00406893"/>
    <w:rsid w:val="00407A5F"/>
    <w:rsid w:val="004107BC"/>
    <w:rsid w:val="00410D1B"/>
    <w:rsid w:val="00412072"/>
    <w:rsid w:val="00412274"/>
    <w:rsid w:val="00412C8D"/>
    <w:rsid w:val="00412D71"/>
    <w:rsid w:val="0041342C"/>
    <w:rsid w:val="00413B2D"/>
    <w:rsid w:val="00415935"/>
    <w:rsid w:val="00415D57"/>
    <w:rsid w:val="004179AC"/>
    <w:rsid w:val="00420438"/>
    <w:rsid w:val="00420A03"/>
    <w:rsid w:val="0042103B"/>
    <w:rsid w:val="00421067"/>
    <w:rsid w:val="00421DA6"/>
    <w:rsid w:val="00422035"/>
    <w:rsid w:val="004230D7"/>
    <w:rsid w:val="00424BCF"/>
    <w:rsid w:val="00425EA7"/>
    <w:rsid w:val="00426C0F"/>
    <w:rsid w:val="00426CD8"/>
    <w:rsid w:val="00426F87"/>
    <w:rsid w:val="0042780F"/>
    <w:rsid w:val="004336E3"/>
    <w:rsid w:val="0043374D"/>
    <w:rsid w:val="00434D28"/>
    <w:rsid w:val="00435357"/>
    <w:rsid w:val="004366E2"/>
    <w:rsid w:val="004374A7"/>
    <w:rsid w:val="00437627"/>
    <w:rsid w:val="00437BEA"/>
    <w:rsid w:val="00437C04"/>
    <w:rsid w:val="00440CB1"/>
    <w:rsid w:val="004415FD"/>
    <w:rsid w:val="0044172D"/>
    <w:rsid w:val="00442574"/>
    <w:rsid w:val="00443264"/>
    <w:rsid w:val="004434C2"/>
    <w:rsid w:val="0044423F"/>
    <w:rsid w:val="00444956"/>
    <w:rsid w:val="00446780"/>
    <w:rsid w:val="00446A8C"/>
    <w:rsid w:val="00447DCA"/>
    <w:rsid w:val="00450D2A"/>
    <w:rsid w:val="0045127F"/>
    <w:rsid w:val="00451453"/>
    <w:rsid w:val="00451F48"/>
    <w:rsid w:val="00452B27"/>
    <w:rsid w:val="00453521"/>
    <w:rsid w:val="00454B9D"/>
    <w:rsid w:val="004552D9"/>
    <w:rsid w:val="00461D6B"/>
    <w:rsid w:val="004626AB"/>
    <w:rsid w:val="004630D7"/>
    <w:rsid w:val="00463F06"/>
    <w:rsid w:val="004652EE"/>
    <w:rsid w:val="00465E8E"/>
    <w:rsid w:val="00467509"/>
    <w:rsid w:val="004718DC"/>
    <w:rsid w:val="00472B05"/>
    <w:rsid w:val="00472C88"/>
    <w:rsid w:val="0047482C"/>
    <w:rsid w:val="00474A33"/>
    <w:rsid w:val="00475851"/>
    <w:rsid w:val="004761D2"/>
    <w:rsid w:val="00476775"/>
    <w:rsid w:val="004819A1"/>
    <w:rsid w:val="00481A01"/>
    <w:rsid w:val="00481E41"/>
    <w:rsid w:val="004844ED"/>
    <w:rsid w:val="00485076"/>
    <w:rsid w:val="00485B95"/>
    <w:rsid w:val="00486093"/>
    <w:rsid w:val="00486DDE"/>
    <w:rsid w:val="0048748C"/>
    <w:rsid w:val="0048774A"/>
    <w:rsid w:val="00487C5F"/>
    <w:rsid w:val="00487FE2"/>
    <w:rsid w:val="00491AC1"/>
    <w:rsid w:val="00495D8E"/>
    <w:rsid w:val="00496FF4"/>
    <w:rsid w:val="00497CC4"/>
    <w:rsid w:val="00497DD5"/>
    <w:rsid w:val="004A0195"/>
    <w:rsid w:val="004A081D"/>
    <w:rsid w:val="004A083F"/>
    <w:rsid w:val="004A1565"/>
    <w:rsid w:val="004A1DBF"/>
    <w:rsid w:val="004A2722"/>
    <w:rsid w:val="004A577B"/>
    <w:rsid w:val="004A58C9"/>
    <w:rsid w:val="004A5B46"/>
    <w:rsid w:val="004A6086"/>
    <w:rsid w:val="004A622C"/>
    <w:rsid w:val="004A6644"/>
    <w:rsid w:val="004A71BE"/>
    <w:rsid w:val="004A7735"/>
    <w:rsid w:val="004A7E57"/>
    <w:rsid w:val="004B2188"/>
    <w:rsid w:val="004B2429"/>
    <w:rsid w:val="004B2461"/>
    <w:rsid w:val="004B27CE"/>
    <w:rsid w:val="004B2E22"/>
    <w:rsid w:val="004B481A"/>
    <w:rsid w:val="004B62D8"/>
    <w:rsid w:val="004C13FF"/>
    <w:rsid w:val="004C1BB5"/>
    <w:rsid w:val="004C2BFC"/>
    <w:rsid w:val="004C3ED5"/>
    <w:rsid w:val="004C40CD"/>
    <w:rsid w:val="004C4CF2"/>
    <w:rsid w:val="004C4D80"/>
    <w:rsid w:val="004C4E12"/>
    <w:rsid w:val="004C64C9"/>
    <w:rsid w:val="004C6CB1"/>
    <w:rsid w:val="004C7112"/>
    <w:rsid w:val="004C74F6"/>
    <w:rsid w:val="004C7FAB"/>
    <w:rsid w:val="004D1BE7"/>
    <w:rsid w:val="004D27C2"/>
    <w:rsid w:val="004D2C24"/>
    <w:rsid w:val="004D4717"/>
    <w:rsid w:val="004D58A7"/>
    <w:rsid w:val="004D61B2"/>
    <w:rsid w:val="004D6E68"/>
    <w:rsid w:val="004D7481"/>
    <w:rsid w:val="004D762F"/>
    <w:rsid w:val="004E2A89"/>
    <w:rsid w:val="004E33F4"/>
    <w:rsid w:val="004E47FB"/>
    <w:rsid w:val="004E5D92"/>
    <w:rsid w:val="004E662E"/>
    <w:rsid w:val="004E6927"/>
    <w:rsid w:val="004E7A7B"/>
    <w:rsid w:val="004E7DFD"/>
    <w:rsid w:val="004E7E8F"/>
    <w:rsid w:val="004F0A29"/>
    <w:rsid w:val="004F266F"/>
    <w:rsid w:val="004F2956"/>
    <w:rsid w:val="004F2B35"/>
    <w:rsid w:val="004F31EF"/>
    <w:rsid w:val="004F413C"/>
    <w:rsid w:val="004F4CB1"/>
    <w:rsid w:val="004F4F3B"/>
    <w:rsid w:val="004F5B81"/>
    <w:rsid w:val="004F6930"/>
    <w:rsid w:val="004F6D20"/>
    <w:rsid w:val="004F70F5"/>
    <w:rsid w:val="004F7551"/>
    <w:rsid w:val="004F7C05"/>
    <w:rsid w:val="004F7DBE"/>
    <w:rsid w:val="00501542"/>
    <w:rsid w:val="00501E25"/>
    <w:rsid w:val="005022C1"/>
    <w:rsid w:val="0050479A"/>
    <w:rsid w:val="00504C8A"/>
    <w:rsid w:val="00504FBD"/>
    <w:rsid w:val="00505F26"/>
    <w:rsid w:val="0050665B"/>
    <w:rsid w:val="00506844"/>
    <w:rsid w:val="00507B21"/>
    <w:rsid w:val="00507C38"/>
    <w:rsid w:val="00507DE6"/>
    <w:rsid w:val="0051154D"/>
    <w:rsid w:val="005120A7"/>
    <w:rsid w:val="0051280D"/>
    <w:rsid w:val="00513E50"/>
    <w:rsid w:val="0051489B"/>
    <w:rsid w:val="005155A9"/>
    <w:rsid w:val="00515962"/>
    <w:rsid w:val="00520DEB"/>
    <w:rsid w:val="00522657"/>
    <w:rsid w:val="005230BF"/>
    <w:rsid w:val="00523418"/>
    <w:rsid w:val="00524409"/>
    <w:rsid w:val="005252AC"/>
    <w:rsid w:val="005257AA"/>
    <w:rsid w:val="0052584A"/>
    <w:rsid w:val="00526A21"/>
    <w:rsid w:val="00526AE5"/>
    <w:rsid w:val="00527B21"/>
    <w:rsid w:val="00530372"/>
    <w:rsid w:val="005311FA"/>
    <w:rsid w:val="00532116"/>
    <w:rsid w:val="00533354"/>
    <w:rsid w:val="0053581D"/>
    <w:rsid w:val="00535ACD"/>
    <w:rsid w:val="005361A6"/>
    <w:rsid w:val="005365A4"/>
    <w:rsid w:val="00537A7C"/>
    <w:rsid w:val="00537B49"/>
    <w:rsid w:val="00537E04"/>
    <w:rsid w:val="00537E7F"/>
    <w:rsid w:val="00541069"/>
    <w:rsid w:val="00541AD1"/>
    <w:rsid w:val="00541CCF"/>
    <w:rsid w:val="00541FA4"/>
    <w:rsid w:val="00542910"/>
    <w:rsid w:val="00542A9F"/>
    <w:rsid w:val="00542EC6"/>
    <w:rsid w:val="00544489"/>
    <w:rsid w:val="005449D0"/>
    <w:rsid w:val="00545D1F"/>
    <w:rsid w:val="005464D8"/>
    <w:rsid w:val="00547A63"/>
    <w:rsid w:val="00547D79"/>
    <w:rsid w:val="00550294"/>
    <w:rsid w:val="00550A9D"/>
    <w:rsid w:val="0055146E"/>
    <w:rsid w:val="00552790"/>
    <w:rsid w:val="00552DE5"/>
    <w:rsid w:val="00553808"/>
    <w:rsid w:val="00554FA5"/>
    <w:rsid w:val="00561A39"/>
    <w:rsid w:val="00562458"/>
    <w:rsid w:val="00563B3E"/>
    <w:rsid w:val="00563E31"/>
    <w:rsid w:val="005649F0"/>
    <w:rsid w:val="00564D7F"/>
    <w:rsid w:val="00567387"/>
    <w:rsid w:val="00570B14"/>
    <w:rsid w:val="005719D6"/>
    <w:rsid w:val="00572887"/>
    <w:rsid w:val="00572D35"/>
    <w:rsid w:val="00573929"/>
    <w:rsid w:val="0057403F"/>
    <w:rsid w:val="0057413F"/>
    <w:rsid w:val="00575C5F"/>
    <w:rsid w:val="0058138F"/>
    <w:rsid w:val="00581B85"/>
    <w:rsid w:val="00581C75"/>
    <w:rsid w:val="0058232E"/>
    <w:rsid w:val="00582DE0"/>
    <w:rsid w:val="0058391D"/>
    <w:rsid w:val="00585AE0"/>
    <w:rsid w:val="0058606D"/>
    <w:rsid w:val="00586470"/>
    <w:rsid w:val="00586812"/>
    <w:rsid w:val="00590404"/>
    <w:rsid w:val="005908A0"/>
    <w:rsid w:val="00591709"/>
    <w:rsid w:val="00592D16"/>
    <w:rsid w:val="00594266"/>
    <w:rsid w:val="0059433D"/>
    <w:rsid w:val="00594608"/>
    <w:rsid w:val="00594766"/>
    <w:rsid w:val="00595F68"/>
    <w:rsid w:val="0059698F"/>
    <w:rsid w:val="00596B25"/>
    <w:rsid w:val="00597270"/>
    <w:rsid w:val="005977E7"/>
    <w:rsid w:val="00597F76"/>
    <w:rsid w:val="005A0979"/>
    <w:rsid w:val="005A0C07"/>
    <w:rsid w:val="005A112D"/>
    <w:rsid w:val="005A226E"/>
    <w:rsid w:val="005A2579"/>
    <w:rsid w:val="005A26EF"/>
    <w:rsid w:val="005A2DAA"/>
    <w:rsid w:val="005A43AE"/>
    <w:rsid w:val="005A5577"/>
    <w:rsid w:val="005A5BF6"/>
    <w:rsid w:val="005A6761"/>
    <w:rsid w:val="005A67BD"/>
    <w:rsid w:val="005B0109"/>
    <w:rsid w:val="005B060E"/>
    <w:rsid w:val="005B07A8"/>
    <w:rsid w:val="005B3421"/>
    <w:rsid w:val="005B4793"/>
    <w:rsid w:val="005B56A2"/>
    <w:rsid w:val="005B5EBA"/>
    <w:rsid w:val="005B645C"/>
    <w:rsid w:val="005C0E93"/>
    <w:rsid w:val="005C21FB"/>
    <w:rsid w:val="005C309B"/>
    <w:rsid w:val="005C38A1"/>
    <w:rsid w:val="005C3E22"/>
    <w:rsid w:val="005C416B"/>
    <w:rsid w:val="005C41E0"/>
    <w:rsid w:val="005C4229"/>
    <w:rsid w:val="005C4688"/>
    <w:rsid w:val="005C5C97"/>
    <w:rsid w:val="005D1AE8"/>
    <w:rsid w:val="005D2FE3"/>
    <w:rsid w:val="005D3C90"/>
    <w:rsid w:val="005D4120"/>
    <w:rsid w:val="005D4A06"/>
    <w:rsid w:val="005D4F28"/>
    <w:rsid w:val="005D5BA8"/>
    <w:rsid w:val="005D6689"/>
    <w:rsid w:val="005D6825"/>
    <w:rsid w:val="005E052F"/>
    <w:rsid w:val="005E1083"/>
    <w:rsid w:val="005E2264"/>
    <w:rsid w:val="005E3BC2"/>
    <w:rsid w:val="005E3D2F"/>
    <w:rsid w:val="005E4DA9"/>
    <w:rsid w:val="005E537C"/>
    <w:rsid w:val="005E5AD2"/>
    <w:rsid w:val="005E5CB7"/>
    <w:rsid w:val="005E79EF"/>
    <w:rsid w:val="005E7B5F"/>
    <w:rsid w:val="005E7D8C"/>
    <w:rsid w:val="005F0684"/>
    <w:rsid w:val="005F11D1"/>
    <w:rsid w:val="005F2A2E"/>
    <w:rsid w:val="005F3416"/>
    <w:rsid w:val="005F3A7B"/>
    <w:rsid w:val="005F4425"/>
    <w:rsid w:val="005F67AF"/>
    <w:rsid w:val="005F6C3A"/>
    <w:rsid w:val="0060267E"/>
    <w:rsid w:val="006028B0"/>
    <w:rsid w:val="00603948"/>
    <w:rsid w:val="00603D90"/>
    <w:rsid w:val="0060449F"/>
    <w:rsid w:val="0060461B"/>
    <w:rsid w:val="0060545D"/>
    <w:rsid w:val="00605A96"/>
    <w:rsid w:val="00606128"/>
    <w:rsid w:val="00606BB7"/>
    <w:rsid w:val="00606D28"/>
    <w:rsid w:val="00607804"/>
    <w:rsid w:val="006100AD"/>
    <w:rsid w:val="00611D36"/>
    <w:rsid w:val="00614918"/>
    <w:rsid w:val="00614C10"/>
    <w:rsid w:val="00616EFD"/>
    <w:rsid w:val="00617B4C"/>
    <w:rsid w:val="00621321"/>
    <w:rsid w:val="00621A4A"/>
    <w:rsid w:val="00622724"/>
    <w:rsid w:val="00623496"/>
    <w:rsid w:val="00623903"/>
    <w:rsid w:val="00623F48"/>
    <w:rsid w:val="00624E26"/>
    <w:rsid w:val="00625803"/>
    <w:rsid w:val="00627540"/>
    <w:rsid w:val="006278C8"/>
    <w:rsid w:val="006304CA"/>
    <w:rsid w:val="00631883"/>
    <w:rsid w:val="0063453C"/>
    <w:rsid w:val="006345CC"/>
    <w:rsid w:val="0063588F"/>
    <w:rsid w:val="00635983"/>
    <w:rsid w:val="006359A6"/>
    <w:rsid w:val="00636DB2"/>
    <w:rsid w:val="00637038"/>
    <w:rsid w:val="00637722"/>
    <w:rsid w:val="0063782F"/>
    <w:rsid w:val="00640097"/>
    <w:rsid w:val="0064301C"/>
    <w:rsid w:val="00643DDD"/>
    <w:rsid w:val="00643FEB"/>
    <w:rsid w:val="00645BF8"/>
    <w:rsid w:val="00645C8A"/>
    <w:rsid w:val="00650856"/>
    <w:rsid w:val="00651281"/>
    <w:rsid w:val="006512AE"/>
    <w:rsid w:val="0065258E"/>
    <w:rsid w:val="00654262"/>
    <w:rsid w:val="00655A9C"/>
    <w:rsid w:val="00655C5B"/>
    <w:rsid w:val="00655DC1"/>
    <w:rsid w:val="00655F59"/>
    <w:rsid w:val="00657198"/>
    <w:rsid w:val="006571C6"/>
    <w:rsid w:val="0066150B"/>
    <w:rsid w:val="00662CB7"/>
    <w:rsid w:val="0066320E"/>
    <w:rsid w:val="0066357C"/>
    <w:rsid w:val="00663BF2"/>
    <w:rsid w:val="00664494"/>
    <w:rsid w:val="00665ED7"/>
    <w:rsid w:val="0066606C"/>
    <w:rsid w:val="006676C2"/>
    <w:rsid w:val="00667822"/>
    <w:rsid w:val="006705A8"/>
    <w:rsid w:val="00671D56"/>
    <w:rsid w:val="00671E40"/>
    <w:rsid w:val="00671EC6"/>
    <w:rsid w:val="0067294F"/>
    <w:rsid w:val="00672EC0"/>
    <w:rsid w:val="0067378A"/>
    <w:rsid w:val="00675441"/>
    <w:rsid w:val="0067733A"/>
    <w:rsid w:val="006777EF"/>
    <w:rsid w:val="0068029B"/>
    <w:rsid w:val="006843F0"/>
    <w:rsid w:val="0068535D"/>
    <w:rsid w:val="00685C75"/>
    <w:rsid w:val="006913FE"/>
    <w:rsid w:val="00691F7B"/>
    <w:rsid w:val="00694486"/>
    <w:rsid w:val="0069611F"/>
    <w:rsid w:val="006963B7"/>
    <w:rsid w:val="0069656B"/>
    <w:rsid w:val="00696B42"/>
    <w:rsid w:val="0069786B"/>
    <w:rsid w:val="006A2A5D"/>
    <w:rsid w:val="006A2F2D"/>
    <w:rsid w:val="006A3A70"/>
    <w:rsid w:val="006A3CF6"/>
    <w:rsid w:val="006A4A7F"/>
    <w:rsid w:val="006A4E5B"/>
    <w:rsid w:val="006A4FEC"/>
    <w:rsid w:val="006A52E6"/>
    <w:rsid w:val="006A598E"/>
    <w:rsid w:val="006A5D39"/>
    <w:rsid w:val="006A6338"/>
    <w:rsid w:val="006A68BE"/>
    <w:rsid w:val="006A6CCF"/>
    <w:rsid w:val="006A74B4"/>
    <w:rsid w:val="006B0997"/>
    <w:rsid w:val="006B0EB7"/>
    <w:rsid w:val="006B19AB"/>
    <w:rsid w:val="006B21D3"/>
    <w:rsid w:val="006B2544"/>
    <w:rsid w:val="006B5AF7"/>
    <w:rsid w:val="006B6194"/>
    <w:rsid w:val="006B6E97"/>
    <w:rsid w:val="006B7598"/>
    <w:rsid w:val="006C0444"/>
    <w:rsid w:val="006C0783"/>
    <w:rsid w:val="006C24B6"/>
    <w:rsid w:val="006C3B14"/>
    <w:rsid w:val="006C4503"/>
    <w:rsid w:val="006C4A22"/>
    <w:rsid w:val="006C4BD0"/>
    <w:rsid w:val="006C722E"/>
    <w:rsid w:val="006C7712"/>
    <w:rsid w:val="006D038C"/>
    <w:rsid w:val="006D2661"/>
    <w:rsid w:val="006D2C17"/>
    <w:rsid w:val="006D377E"/>
    <w:rsid w:val="006D3AB2"/>
    <w:rsid w:val="006D423E"/>
    <w:rsid w:val="006D51E6"/>
    <w:rsid w:val="006D5E5C"/>
    <w:rsid w:val="006D7923"/>
    <w:rsid w:val="006D7F79"/>
    <w:rsid w:val="006E0689"/>
    <w:rsid w:val="006E1CA0"/>
    <w:rsid w:val="006E33B6"/>
    <w:rsid w:val="006E3FED"/>
    <w:rsid w:val="006E58E6"/>
    <w:rsid w:val="006E649A"/>
    <w:rsid w:val="006E6BF2"/>
    <w:rsid w:val="006E6E77"/>
    <w:rsid w:val="006E7AA4"/>
    <w:rsid w:val="006F005C"/>
    <w:rsid w:val="006F0AFD"/>
    <w:rsid w:val="006F10A4"/>
    <w:rsid w:val="006F18B0"/>
    <w:rsid w:val="006F4F33"/>
    <w:rsid w:val="006F5DE5"/>
    <w:rsid w:val="006F6520"/>
    <w:rsid w:val="006F7670"/>
    <w:rsid w:val="00700975"/>
    <w:rsid w:val="00700BF9"/>
    <w:rsid w:val="00700ECB"/>
    <w:rsid w:val="007064D8"/>
    <w:rsid w:val="007070FD"/>
    <w:rsid w:val="00707244"/>
    <w:rsid w:val="0070725E"/>
    <w:rsid w:val="007102F3"/>
    <w:rsid w:val="007103F1"/>
    <w:rsid w:val="00711044"/>
    <w:rsid w:val="007123DF"/>
    <w:rsid w:val="00712B6F"/>
    <w:rsid w:val="00714281"/>
    <w:rsid w:val="00714C48"/>
    <w:rsid w:val="00715178"/>
    <w:rsid w:val="007155F4"/>
    <w:rsid w:val="0071583B"/>
    <w:rsid w:val="007160A3"/>
    <w:rsid w:val="00716A87"/>
    <w:rsid w:val="00716F9F"/>
    <w:rsid w:val="007173AF"/>
    <w:rsid w:val="00720B17"/>
    <w:rsid w:val="00721309"/>
    <w:rsid w:val="00721D46"/>
    <w:rsid w:val="00722261"/>
    <w:rsid w:val="0072467F"/>
    <w:rsid w:val="00724BAC"/>
    <w:rsid w:val="00725346"/>
    <w:rsid w:val="0072560B"/>
    <w:rsid w:val="00725DFA"/>
    <w:rsid w:val="0072721A"/>
    <w:rsid w:val="007313BA"/>
    <w:rsid w:val="007313DE"/>
    <w:rsid w:val="00731D53"/>
    <w:rsid w:val="00732ACE"/>
    <w:rsid w:val="00733D4C"/>
    <w:rsid w:val="007359AE"/>
    <w:rsid w:val="0073651E"/>
    <w:rsid w:val="007366B7"/>
    <w:rsid w:val="00736D97"/>
    <w:rsid w:val="007370D4"/>
    <w:rsid w:val="0073713F"/>
    <w:rsid w:val="0074037D"/>
    <w:rsid w:val="00740701"/>
    <w:rsid w:val="00742441"/>
    <w:rsid w:val="00742446"/>
    <w:rsid w:val="00742BF7"/>
    <w:rsid w:val="00743CA6"/>
    <w:rsid w:val="00743FA7"/>
    <w:rsid w:val="007448E7"/>
    <w:rsid w:val="00744D1F"/>
    <w:rsid w:val="007450B0"/>
    <w:rsid w:val="0074526C"/>
    <w:rsid w:val="0074610C"/>
    <w:rsid w:val="00746EE3"/>
    <w:rsid w:val="00747C42"/>
    <w:rsid w:val="00753FE1"/>
    <w:rsid w:val="007547E0"/>
    <w:rsid w:val="0075515B"/>
    <w:rsid w:val="00755444"/>
    <w:rsid w:val="00756EA9"/>
    <w:rsid w:val="00757736"/>
    <w:rsid w:val="007605D6"/>
    <w:rsid w:val="00760AFF"/>
    <w:rsid w:val="0076155E"/>
    <w:rsid w:val="00761CBE"/>
    <w:rsid w:val="00765BE7"/>
    <w:rsid w:val="00766A77"/>
    <w:rsid w:val="00766E81"/>
    <w:rsid w:val="0076745F"/>
    <w:rsid w:val="00767802"/>
    <w:rsid w:val="00767FA3"/>
    <w:rsid w:val="007703BB"/>
    <w:rsid w:val="007708C4"/>
    <w:rsid w:val="00770C0B"/>
    <w:rsid w:val="00771018"/>
    <w:rsid w:val="0077145F"/>
    <w:rsid w:val="00771F80"/>
    <w:rsid w:val="00771FCA"/>
    <w:rsid w:val="00773166"/>
    <w:rsid w:val="00773570"/>
    <w:rsid w:val="00773EB9"/>
    <w:rsid w:val="0077433A"/>
    <w:rsid w:val="007753BD"/>
    <w:rsid w:val="007757FF"/>
    <w:rsid w:val="007770C9"/>
    <w:rsid w:val="00777B96"/>
    <w:rsid w:val="00777CCA"/>
    <w:rsid w:val="0078277B"/>
    <w:rsid w:val="007838AB"/>
    <w:rsid w:val="007839D8"/>
    <w:rsid w:val="00783A2C"/>
    <w:rsid w:val="00783B3A"/>
    <w:rsid w:val="00784E43"/>
    <w:rsid w:val="00785A24"/>
    <w:rsid w:val="00786543"/>
    <w:rsid w:val="0078691E"/>
    <w:rsid w:val="00787D93"/>
    <w:rsid w:val="00787EB1"/>
    <w:rsid w:val="007901F5"/>
    <w:rsid w:val="00790C08"/>
    <w:rsid w:val="00791213"/>
    <w:rsid w:val="00791683"/>
    <w:rsid w:val="00791F8A"/>
    <w:rsid w:val="007943F5"/>
    <w:rsid w:val="007946DC"/>
    <w:rsid w:val="00795078"/>
    <w:rsid w:val="00795553"/>
    <w:rsid w:val="00795990"/>
    <w:rsid w:val="00796409"/>
    <w:rsid w:val="00796F92"/>
    <w:rsid w:val="00797610"/>
    <w:rsid w:val="00797EAC"/>
    <w:rsid w:val="007A03DF"/>
    <w:rsid w:val="007A0DB8"/>
    <w:rsid w:val="007A0E9D"/>
    <w:rsid w:val="007A17D9"/>
    <w:rsid w:val="007A4292"/>
    <w:rsid w:val="007A73AD"/>
    <w:rsid w:val="007B015E"/>
    <w:rsid w:val="007B0FA6"/>
    <w:rsid w:val="007B14EC"/>
    <w:rsid w:val="007B1C4B"/>
    <w:rsid w:val="007B2291"/>
    <w:rsid w:val="007B30B2"/>
    <w:rsid w:val="007B377B"/>
    <w:rsid w:val="007B3E74"/>
    <w:rsid w:val="007B4041"/>
    <w:rsid w:val="007B5D4E"/>
    <w:rsid w:val="007B61EB"/>
    <w:rsid w:val="007B723F"/>
    <w:rsid w:val="007C002A"/>
    <w:rsid w:val="007C3732"/>
    <w:rsid w:val="007C3989"/>
    <w:rsid w:val="007C4C2D"/>
    <w:rsid w:val="007C5399"/>
    <w:rsid w:val="007C5F90"/>
    <w:rsid w:val="007C684B"/>
    <w:rsid w:val="007C6978"/>
    <w:rsid w:val="007C724A"/>
    <w:rsid w:val="007D0F36"/>
    <w:rsid w:val="007D101C"/>
    <w:rsid w:val="007D1DBE"/>
    <w:rsid w:val="007D23C5"/>
    <w:rsid w:val="007D32E9"/>
    <w:rsid w:val="007D340A"/>
    <w:rsid w:val="007D3C01"/>
    <w:rsid w:val="007D3C48"/>
    <w:rsid w:val="007D3F67"/>
    <w:rsid w:val="007D4FA1"/>
    <w:rsid w:val="007D5615"/>
    <w:rsid w:val="007D5ADA"/>
    <w:rsid w:val="007D63E7"/>
    <w:rsid w:val="007D6543"/>
    <w:rsid w:val="007E005D"/>
    <w:rsid w:val="007E02CB"/>
    <w:rsid w:val="007E0F83"/>
    <w:rsid w:val="007E1CC1"/>
    <w:rsid w:val="007E2036"/>
    <w:rsid w:val="007E2380"/>
    <w:rsid w:val="007E273B"/>
    <w:rsid w:val="007E2C51"/>
    <w:rsid w:val="007E38E0"/>
    <w:rsid w:val="007E40B1"/>
    <w:rsid w:val="007E4CB4"/>
    <w:rsid w:val="007E6A30"/>
    <w:rsid w:val="007F0893"/>
    <w:rsid w:val="007F2EC6"/>
    <w:rsid w:val="007F51D0"/>
    <w:rsid w:val="007F575E"/>
    <w:rsid w:val="007F65D1"/>
    <w:rsid w:val="007F6E1C"/>
    <w:rsid w:val="00801560"/>
    <w:rsid w:val="0080164C"/>
    <w:rsid w:val="008019F0"/>
    <w:rsid w:val="00801BB2"/>
    <w:rsid w:val="00803C83"/>
    <w:rsid w:val="00803D9B"/>
    <w:rsid w:val="00805C56"/>
    <w:rsid w:val="00806472"/>
    <w:rsid w:val="00807A3F"/>
    <w:rsid w:val="00810520"/>
    <w:rsid w:val="00810639"/>
    <w:rsid w:val="00810BD8"/>
    <w:rsid w:val="00813781"/>
    <w:rsid w:val="008140F9"/>
    <w:rsid w:val="00814172"/>
    <w:rsid w:val="0081469C"/>
    <w:rsid w:val="008147FC"/>
    <w:rsid w:val="00814E15"/>
    <w:rsid w:val="00817A45"/>
    <w:rsid w:val="0082014B"/>
    <w:rsid w:val="00821DFC"/>
    <w:rsid w:val="0082472C"/>
    <w:rsid w:val="00825417"/>
    <w:rsid w:val="00825C77"/>
    <w:rsid w:val="0082654B"/>
    <w:rsid w:val="00827FE3"/>
    <w:rsid w:val="00830014"/>
    <w:rsid w:val="008309C0"/>
    <w:rsid w:val="00832591"/>
    <w:rsid w:val="00833885"/>
    <w:rsid w:val="008344A5"/>
    <w:rsid w:val="00835031"/>
    <w:rsid w:val="00836AA0"/>
    <w:rsid w:val="00836FF1"/>
    <w:rsid w:val="00837372"/>
    <w:rsid w:val="0084002A"/>
    <w:rsid w:val="00840092"/>
    <w:rsid w:val="00840CD2"/>
    <w:rsid w:val="008413BD"/>
    <w:rsid w:val="00841C56"/>
    <w:rsid w:val="00843920"/>
    <w:rsid w:val="0084552A"/>
    <w:rsid w:val="00845A92"/>
    <w:rsid w:val="00845B6F"/>
    <w:rsid w:val="00845E3F"/>
    <w:rsid w:val="00847BF2"/>
    <w:rsid w:val="0085130C"/>
    <w:rsid w:val="00851920"/>
    <w:rsid w:val="00852D8E"/>
    <w:rsid w:val="00853024"/>
    <w:rsid w:val="00853834"/>
    <w:rsid w:val="008538CD"/>
    <w:rsid w:val="008539AD"/>
    <w:rsid w:val="00853B8F"/>
    <w:rsid w:val="00854726"/>
    <w:rsid w:val="0085482F"/>
    <w:rsid w:val="00854CFC"/>
    <w:rsid w:val="00855C37"/>
    <w:rsid w:val="00860805"/>
    <w:rsid w:val="00860D58"/>
    <w:rsid w:val="00860E99"/>
    <w:rsid w:val="00861E96"/>
    <w:rsid w:val="00862243"/>
    <w:rsid w:val="00862F7F"/>
    <w:rsid w:val="00863657"/>
    <w:rsid w:val="00863759"/>
    <w:rsid w:val="0086556D"/>
    <w:rsid w:val="008656B7"/>
    <w:rsid w:val="008678B0"/>
    <w:rsid w:val="00870C2D"/>
    <w:rsid w:val="008718F2"/>
    <w:rsid w:val="008725C7"/>
    <w:rsid w:val="00872CB4"/>
    <w:rsid w:val="00874569"/>
    <w:rsid w:val="00874C5B"/>
    <w:rsid w:val="0087616A"/>
    <w:rsid w:val="00876196"/>
    <w:rsid w:val="008769A8"/>
    <w:rsid w:val="00876DAA"/>
    <w:rsid w:val="00877E17"/>
    <w:rsid w:val="00877EC3"/>
    <w:rsid w:val="00877F9C"/>
    <w:rsid w:val="00880D9F"/>
    <w:rsid w:val="00880F52"/>
    <w:rsid w:val="00882982"/>
    <w:rsid w:val="00882AB9"/>
    <w:rsid w:val="00883BE3"/>
    <w:rsid w:val="0088474C"/>
    <w:rsid w:val="008847B7"/>
    <w:rsid w:val="00884F9D"/>
    <w:rsid w:val="008858FC"/>
    <w:rsid w:val="00885F35"/>
    <w:rsid w:val="00887E9C"/>
    <w:rsid w:val="00890915"/>
    <w:rsid w:val="00892038"/>
    <w:rsid w:val="00892236"/>
    <w:rsid w:val="00892F60"/>
    <w:rsid w:val="0089361D"/>
    <w:rsid w:val="008947DF"/>
    <w:rsid w:val="00896C3E"/>
    <w:rsid w:val="00896C82"/>
    <w:rsid w:val="008A05AB"/>
    <w:rsid w:val="008A14E9"/>
    <w:rsid w:val="008A211B"/>
    <w:rsid w:val="008A3480"/>
    <w:rsid w:val="008A3CC2"/>
    <w:rsid w:val="008A4747"/>
    <w:rsid w:val="008A4824"/>
    <w:rsid w:val="008A4AB3"/>
    <w:rsid w:val="008A7C91"/>
    <w:rsid w:val="008B01D1"/>
    <w:rsid w:val="008B0A30"/>
    <w:rsid w:val="008B65EB"/>
    <w:rsid w:val="008B69BA"/>
    <w:rsid w:val="008B76D0"/>
    <w:rsid w:val="008B7DD0"/>
    <w:rsid w:val="008C0F76"/>
    <w:rsid w:val="008C4722"/>
    <w:rsid w:val="008C483C"/>
    <w:rsid w:val="008C48C6"/>
    <w:rsid w:val="008C6BD6"/>
    <w:rsid w:val="008C7B9E"/>
    <w:rsid w:val="008D068E"/>
    <w:rsid w:val="008D1625"/>
    <w:rsid w:val="008D1E81"/>
    <w:rsid w:val="008D43ED"/>
    <w:rsid w:val="008D5C12"/>
    <w:rsid w:val="008D5EEC"/>
    <w:rsid w:val="008D6273"/>
    <w:rsid w:val="008D7E34"/>
    <w:rsid w:val="008E1EB8"/>
    <w:rsid w:val="008E1FDA"/>
    <w:rsid w:val="008E2F28"/>
    <w:rsid w:val="008E42F8"/>
    <w:rsid w:val="008E555E"/>
    <w:rsid w:val="008E63D3"/>
    <w:rsid w:val="008E66A3"/>
    <w:rsid w:val="008E737B"/>
    <w:rsid w:val="008E7684"/>
    <w:rsid w:val="008E7D0F"/>
    <w:rsid w:val="008F0300"/>
    <w:rsid w:val="008F12BA"/>
    <w:rsid w:val="008F1683"/>
    <w:rsid w:val="008F19D4"/>
    <w:rsid w:val="008F1B66"/>
    <w:rsid w:val="008F25A3"/>
    <w:rsid w:val="008F2DE5"/>
    <w:rsid w:val="008F3755"/>
    <w:rsid w:val="008F38BD"/>
    <w:rsid w:val="008F3953"/>
    <w:rsid w:val="008F4252"/>
    <w:rsid w:val="008F4EB5"/>
    <w:rsid w:val="008F5026"/>
    <w:rsid w:val="008F5E9C"/>
    <w:rsid w:val="008F6381"/>
    <w:rsid w:val="008F6989"/>
    <w:rsid w:val="009020B1"/>
    <w:rsid w:val="00902478"/>
    <w:rsid w:val="0090263B"/>
    <w:rsid w:val="0090617D"/>
    <w:rsid w:val="009061CE"/>
    <w:rsid w:val="00907E0A"/>
    <w:rsid w:val="00912080"/>
    <w:rsid w:val="009136FE"/>
    <w:rsid w:val="0091478E"/>
    <w:rsid w:val="00914C69"/>
    <w:rsid w:val="009162B7"/>
    <w:rsid w:val="00920B66"/>
    <w:rsid w:val="009214D4"/>
    <w:rsid w:val="00921B73"/>
    <w:rsid w:val="00927588"/>
    <w:rsid w:val="00930957"/>
    <w:rsid w:val="00930B26"/>
    <w:rsid w:val="009320E7"/>
    <w:rsid w:val="009330C9"/>
    <w:rsid w:val="00933833"/>
    <w:rsid w:val="00933ACA"/>
    <w:rsid w:val="009349B1"/>
    <w:rsid w:val="009351E0"/>
    <w:rsid w:val="0093681E"/>
    <w:rsid w:val="00936952"/>
    <w:rsid w:val="00936BAB"/>
    <w:rsid w:val="00937ED0"/>
    <w:rsid w:val="0094019C"/>
    <w:rsid w:val="00940C6E"/>
    <w:rsid w:val="00940C9D"/>
    <w:rsid w:val="00940F9C"/>
    <w:rsid w:val="00941943"/>
    <w:rsid w:val="00942021"/>
    <w:rsid w:val="00942873"/>
    <w:rsid w:val="00943357"/>
    <w:rsid w:val="00944762"/>
    <w:rsid w:val="00944F45"/>
    <w:rsid w:val="00945553"/>
    <w:rsid w:val="00945EE4"/>
    <w:rsid w:val="00946424"/>
    <w:rsid w:val="00946D2B"/>
    <w:rsid w:val="00947A5E"/>
    <w:rsid w:val="009502BA"/>
    <w:rsid w:val="009509AA"/>
    <w:rsid w:val="009509BC"/>
    <w:rsid w:val="009524A9"/>
    <w:rsid w:val="00952741"/>
    <w:rsid w:val="00952C9E"/>
    <w:rsid w:val="009540B8"/>
    <w:rsid w:val="00954811"/>
    <w:rsid w:val="00954998"/>
    <w:rsid w:val="00954AAA"/>
    <w:rsid w:val="00954B0A"/>
    <w:rsid w:val="009566E3"/>
    <w:rsid w:val="009569A1"/>
    <w:rsid w:val="009607AC"/>
    <w:rsid w:val="00960E62"/>
    <w:rsid w:val="009617D5"/>
    <w:rsid w:val="00961CD0"/>
    <w:rsid w:val="00962B3D"/>
    <w:rsid w:val="00963239"/>
    <w:rsid w:val="009639E5"/>
    <w:rsid w:val="00963E0A"/>
    <w:rsid w:val="00963E13"/>
    <w:rsid w:val="009645F2"/>
    <w:rsid w:val="009648A2"/>
    <w:rsid w:val="0096536F"/>
    <w:rsid w:val="00965B57"/>
    <w:rsid w:val="009675D5"/>
    <w:rsid w:val="00970F49"/>
    <w:rsid w:val="0097238F"/>
    <w:rsid w:val="00972A9A"/>
    <w:rsid w:val="009732D2"/>
    <w:rsid w:val="0097333F"/>
    <w:rsid w:val="009733AC"/>
    <w:rsid w:val="00974871"/>
    <w:rsid w:val="00974CC1"/>
    <w:rsid w:val="00975F36"/>
    <w:rsid w:val="009763E3"/>
    <w:rsid w:val="0097791B"/>
    <w:rsid w:val="00977DB5"/>
    <w:rsid w:val="00977E9B"/>
    <w:rsid w:val="009803A4"/>
    <w:rsid w:val="00980494"/>
    <w:rsid w:val="0098137D"/>
    <w:rsid w:val="00983AE2"/>
    <w:rsid w:val="0098426F"/>
    <w:rsid w:val="00984906"/>
    <w:rsid w:val="00985B1E"/>
    <w:rsid w:val="00985BC5"/>
    <w:rsid w:val="00985D6A"/>
    <w:rsid w:val="00986A07"/>
    <w:rsid w:val="00986E24"/>
    <w:rsid w:val="00986F5E"/>
    <w:rsid w:val="009878CF"/>
    <w:rsid w:val="00987BAA"/>
    <w:rsid w:val="00990093"/>
    <w:rsid w:val="0099275F"/>
    <w:rsid w:val="00993A66"/>
    <w:rsid w:val="00994327"/>
    <w:rsid w:val="00995274"/>
    <w:rsid w:val="00995E8A"/>
    <w:rsid w:val="00997477"/>
    <w:rsid w:val="009A1055"/>
    <w:rsid w:val="009A491F"/>
    <w:rsid w:val="009A4B97"/>
    <w:rsid w:val="009A4C1C"/>
    <w:rsid w:val="009A4E6D"/>
    <w:rsid w:val="009A5200"/>
    <w:rsid w:val="009A52D2"/>
    <w:rsid w:val="009A544A"/>
    <w:rsid w:val="009A7092"/>
    <w:rsid w:val="009A712B"/>
    <w:rsid w:val="009B0F8E"/>
    <w:rsid w:val="009B173C"/>
    <w:rsid w:val="009B1AF1"/>
    <w:rsid w:val="009B2BAF"/>
    <w:rsid w:val="009B383C"/>
    <w:rsid w:val="009B43A5"/>
    <w:rsid w:val="009B4596"/>
    <w:rsid w:val="009B5A58"/>
    <w:rsid w:val="009B5DB8"/>
    <w:rsid w:val="009B6327"/>
    <w:rsid w:val="009B6A1C"/>
    <w:rsid w:val="009C029F"/>
    <w:rsid w:val="009C43BB"/>
    <w:rsid w:val="009C55EC"/>
    <w:rsid w:val="009C5BEB"/>
    <w:rsid w:val="009C7074"/>
    <w:rsid w:val="009C770F"/>
    <w:rsid w:val="009C7BFA"/>
    <w:rsid w:val="009D0946"/>
    <w:rsid w:val="009D0DC3"/>
    <w:rsid w:val="009D13B9"/>
    <w:rsid w:val="009D3AF4"/>
    <w:rsid w:val="009D4017"/>
    <w:rsid w:val="009D433B"/>
    <w:rsid w:val="009D5595"/>
    <w:rsid w:val="009D60A6"/>
    <w:rsid w:val="009D62F3"/>
    <w:rsid w:val="009D6D69"/>
    <w:rsid w:val="009D6E9A"/>
    <w:rsid w:val="009E07FD"/>
    <w:rsid w:val="009E0FEE"/>
    <w:rsid w:val="009E350A"/>
    <w:rsid w:val="009E576D"/>
    <w:rsid w:val="009E5B1F"/>
    <w:rsid w:val="009E6CDF"/>
    <w:rsid w:val="009E7E8F"/>
    <w:rsid w:val="009F2023"/>
    <w:rsid w:val="009F5A5B"/>
    <w:rsid w:val="009F6926"/>
    <w:rsid w:val="009F6BD5"/>
    <w:rsid w:val="009F6CED"/>
    <w:rsid w:val="009F70FB"/>
    <w:rsid w:val="009F7510"/>
    <w:rsid w:val="009F76A2"/>
    <w:rsid w:val="00A01A68"/>
    <w:rsid w:val="00A029C6"/>
    <w:rsid w:val="00A02A63"/>
    <w:rsid w:val="00A03C7E"/>
    <w:rsid w:val="00A052FA"/>
    <w:rsid w:val="00A05634"/>
    <w:rsid w:val="00A059DC"/>
    <w:rsid w:val="00A05A25"/>
    <w:rsid w:val="00A05FF7"/>
    <w:rsid w:val="00A126EB"/>
    <w:rsid w:val="00A12965"/>
    <w:rsid w:val="00A12EE3"/>
    <w:rsid w:val="00A13D8E"/>
    <w:rsid w:val="00A143C7"/>
    <w:rsid w:val="00A15490"/>
    <w:rsid w:val="00A17099"/>
    <w:rsid w:val="00A175C6"/>
    <w:rsid w:val="00A1791B"/>
    <w:rsid w:val="00A2142E"/>
    <w:rsid w:val="00A2192D"/>
    <w:rsid w:val="00A23039"/>
    <w:rsid w:val="00A230B4"/>
    <w:rsid w:val="00A23EDF"/>
    <w:rsid w:val="00A242AD"/>
    <w:rsid w:val="00A24399"/>
    <w:rsid w:val="00A2490C"/>
    <w:rsid w:val="00A2602D"/>
    <w:rsid w:val="00A26786"/>
    <w:rsid w:val="00A26940"/>
    <w:rsid w:val="00A26A6F"/>
    <w:rsid w:val="00A323E7"/>
    <w:rsid w:val="00A33596"/>
    <w:rsid w:val="00A33DB1"/>
    <w:rsid w:val="00A3594A"/>
    <w:rsid w:val="00A36BAE"/>
    <w:rsid w:val="00A4026A"/>
    <w:rsid w:val="00A41AC2"/>
    <w:rsid w:val="00A421B3"/>
    <w:rsid w:val="00A431B9"/>
    <w:rsid w:val="00A440A4"/>
    <w:rsid w:val="00A44AEC"/>
    <w:rsid w:val="00A459A9"/>
    <w:rsid w:val="00A46E78"/>
    <w:rsid w:val="00A50A02"/>
    <w:rsid w:val="00A51660"/>
    <w:rsid w:val="00A53A52"/>
    <w:rsid w:val="00A54F72"/>
    <w:rsid w:val="00A56352"/>
    <w:rsid w:val="00A56669"/>
    <w:rsid w:val="00A57655"/>
    <w:rsid w:val="00A5770C"/>
    <w:rsid w:val="00A64E1D"/>
    <w:rsid w:val="00A657F1"/>
    <w:rsid w:val="00A6646F"/>
    <w:rsid w:val="00A66648"/>
    <w:rsid w:val="00A70250"/>
    <w:rsid w:val="00A70883"/>
    <w:rsid w:val="00A70AFC"/>
    <w:rsid w:val="00A70F64"/>
    <w:rsid w:val="00A7146A"/>
    <w:rsid w:val="00A725BB"/>
    <w:rsid w:val="00A73354"/>
    <w:rsid w:val="00A7390B"/>
    <w:rsid w:val="00A740A8"/>
    <w:rsid w:val="00A75479"/>
    <w:rsid w:val="00A75705"/>
    <w:rsid w:val="00A75A21"/>
    <w:rsid w:val="00A761B6"/>
    <w:rsid w:val="00A76E14"/>
    <w:rsid w:val="00A77460"/>
    <w:rsid w:val="00A815D1"/>
    <w:rsid w:val="00A81C15"/>
    <w:rsid w:val="00A820A6"/>
    <w:rsid w:val="00A82FC8"/>
    <w:rsid w:val="00A85730"/>
    <w:rsid w:val="00A86473"/>
    <w:rsid w:val="00A865F1"/>
    <w:rsid w:val="00A86DAC"/>
    <w:rsid w:val="00A8723D"/>
    <w:rsid w:val="00A87703"/>
    <w:rsid w:val="00A87FE0"/>
    <w:rsid w:val="00A90341"/>
    <w:rsid w:val="00A91A73"/>
    <w:rsid w:val="00A91C32"/>
    <w:rsid w:val="00A9307B"/>
    <w:rsid w:val="00A9749E"/>
    <w:rsid w:val="00A977F2"/>
    <w:rsid w:val="00A9789C"/>
    <w:rsid w:val="00A97BB5"/>
    <w:rsid w:val="00A97E6E"/>
    <w:rsid w:val="00AA6170"/>
    <w:rsid w:val="00AA653F"/>
    <w:rsid w:val="00AA664C"/>
    <w:rsid w:val="00AA767A"/>
    <w:rsid w:val="00AB199F"/>
    <w:rsid w:val="00AB25E7"/>
    <w:rsid w:val="00AB3C32"/>
    <w:rsid w:val="00AB45EF"/>
    <w:rsid w:val="00AB4EC0"/>
    <w:rsid w:val="00AB5692"/>
    <w:rsid w:val="00AB5E5F"/>
    <w:rsid w:val="00AB6279"/>
    <w:rsid w:val="00AB7A32"/>
    <w:rsid w:val="00AB7CF8"/>
    <w:rsid w:val="00AC1BB9"/>
    <w:rsid w:val="00AC25B5"/>
    <w:rsid w:val="00AC2A50"/>
    <w:rsid w:val="00AC2DBE"/>
    <w:rsid w:val="00AC2E3A"/>
    <w:rsid w:val="00AC44C3"/>
    <w:rsid w:val="00AC5090"/>
    <w:rsid w:val="00AC549B"/>
    <w:rsid w:val="00AC607A"/>
    <w:rsid w:val="00AC6E8B"/>
    <w:rsid w:val="00AC7614"/>
    <w:rsid w:val="00AD0000"/>
    <w:rsid w:val="00AD0D40"/>
    <w:rsid w:val="00AD3682"/>
    <w:rsid w:val="00AD4212"/>
    <w:rsid w:val="00AD4A17"/>
    <w:rsid w:val="00AD5570"/>
    <w:rsid w:val="00AD70E0"/>
    <w:rsid w:val="00AD740E"/>
    <w:rsid w:val="00AD7B5F"/>
    <w:rsid w:val="00AE19DD"/>
    <w:rsid w:val="00AE2456"/>
    <w:rsid w:val="00AE2E69"/>
    <w:rsid w:val="00AE59FD"/>
    <w:rsid w:val="00AE5D3D"/>
    <w:rsid w:val="00AE613A"/>
    <w:rsid w:val="00AE6575"/>
    <w:rsid w:val="00AE6BC6"/>
    <w:rsid w:val="00AE7DA4"/>
    <w:rsid w:val="00AF0B65"/>
    <w:rsid w:val="00AF1159"/>
    <w:rsid w:val="00AF1CD0"/>
    <w:rsid w:val="00AF250C"/>
    <w:rsid w:val="00AF25F7"/>
    <w:rsid w:val="00AF3061"/>
    <w:rsid w:val="00AF3374"/>
    <w:rsid w:val="00AF464E"/>
    <w:rsid w:val="00AF601E"/>
    <w:rsid w:val="00AF694A"/>
    <w:rsid w:val="00AF78AA"/>
    <w:rsid w:val="00AF795E"/>
    <w:rsid w:val="00B010E2"/>
    <w:rsid w:val="00B01C39"/>
    <w:rsid w:val="00B02C88"/>
    <w:rsid w:val="00B033CC"/>
    <w:rsid w:val="00B065D5"/>
    <w:rsid w:val="00B104C6"/>
    <w:rsid w:val="00B11BDE"/>
    <w:rsid w:val="00B125BF"/>
    <w:rsid w:val="00B12781"/>
    <w:rsid w:val="00B12D57"/>
    <w:rsid w:val="00B13024"/>
    <w:rsid w:val="00B130AA"/>
    <w:rsid w:val="00B13390"/>
    <w:rsid w:val="00B13C6A"/>
    <w:rsid w:val="00B15A3F"/>
    <w:rsid w:val="00B217B4"/>
    <w:rsid w:val="00B2265E"/>
    <w:rsid w:val="00B22E82"/>
    <w:rsid w:val="00B23224"/>
    <w:rsid w:val="00B243BB"/>
    <w:rsid w:val="00B24E79"/>
    <w:rsid w:val="00B27326"/>
    <w:rsid w:val="00B27A07"/>
    <w:rsid w:val="00B31690"/>
    <w:rsid w:val="00B32BCE"/>
    <w:rsid w:val="00B3337D"/>
    <w:rsid w:val="00B3467E"/>
    <w:rsid w:val="00B3622B"/>
    <w:rsid w:val="00B3691B"/>
    <w:rsid w:val="00B36A21"/>
    <w:rsid w:val="00B3726C"/>
    <w:rsid w:val="00B374A8"/>
    <w:rsid w:val="00B37BEF"/>
    <w:rsid w:val="00B41873"/>
    <w:rsid w:val="00B418BA"/>
    <w:rsid w:val="00B41CB8"/>
    <w:rsid w:val="00B42517"/>
    <w:rsid w:val="00B42E32"/>
    <w:rsid w:val="00B43061"/>
    <w:rsid w:val="00B4332F"/>
    <w:rsid w:val="00B4353E"/>
    <w:rsid w:val="00B43BA2"/>
    <w:rsid w:val="00B44FA5"/>
    <w:rsid w:val="00B454F7"/>
    <w:rsid w:val="00B46F56"/>
    <w:rsid w:val="00B50773"/>
    <w:rsid w:val="00B509EF"/>
    <w:rsid w:val="00B52E6D"/>
    <w:rsid w:val="00B52ED0"/>
    <w:rsid w:val="00B53A73"/>
    <w:rsid w:val="00B54603"/>
    <w:rsid w:val="00B552DA"/>
    <w:rsid w:val="00B55A32"/>
    <w:rsid w:val="00B562E2"/>
    <w:rsid w:val="00B56949"/>
    <w:rsid w:val="00B56A11"/>
    <w:rsid w:val="00B56DF8"/>
    <w:rsid w:val="00B56ECB"/>
    <w:rsid w:val="00B57429"/>
    <w:rsid w:val="00B6095E"/>
    <w:rsid w:val="00B60D2B"/>
    <w:rsid w:val="00B61450"/>
    <w:rsid w:val="00B62B84"/>
    <w:rsid w:val="00B62D34"/>
    <w:rsid w:val="00B62D66"/>
    <w:rsid w:val="00B63193"/>
    <w:rsid w:val="00B63813"/>
    <w:rsid w:val="00B65049"/>
    <w:rsid w:val="00B658D9"/>
    <w:rsid w:val="00B66398"/>
    <w:rsid w:val="00B66721"/>
    <w:rsid w:val="00B71A12"/>
    <w:rsid w:val="00B726D6"/>
    <w:rsid w:val="00B72911"/>
    <w:rsid w:val="00B735C1"/>
    <w:rsid w:val="00B7381C"/>
    <w:rsid w:val="00B73EDF"/>
    <w:rsid w:val="00B76D9A"/>
    <w:rsid w:val="00B80857"/>
    <w:rsid w:val="00B83041"/>
    <w:rsid w:val="00B832B1"/>
    <w:rsid w:val="00B83D78"/>
    <w:rsid w:val="00B85A40"/>
    <w:rsid w:val="00B86B51"/>
    <w:rsid w:val="00B90617"/>
    <w:rsid w:val="00B909C6"/>
    <w:rsid w:val="00B91134"/>
    <w:rsid w:val="00B9205C"/>
    <w:rsid w:val="00B920E4"/>
    <w:rsid w:val="00B9235D"/>
    <w:rsid w:val="00B92FBB"/>
    <w:rsid w:val="00B93D91"/>
    <w:rsid w:val="00B94187"/>
    <w:rsid w:val="00B951DF"/>
    <w:rsid w:val="00B96A2B"/>
    <w:rsid w:val="00B97073"/>
    <w:rsid w:val="00B97620"/>
    <w:rsid w:val="00BA030B"/>
    <w:rsid w:val="00BA47A8"/>
    <w:rsid w:val="00BA4DDB"/>
    <w:rsid w:val="00BA57D7"/>
    <w:rsid w:val="00BA6CBE"/>
    <w:rsid w:val="00BA7ECA"/>
    <w:rsid w:val="00BB07B8"/>
    <w:rsid w:val="00BB07E1"/>
    <w:rsid w:val="00BB1061"/>
    <w:rsid w:val="00BB145E"/>
    <w:rsid w:val="00BB1A2E"/>
    <w:rsid w:val="00BB446A"/>
    <w:rsid w:val="00BB45FA"/>
    <w:rsid w:val="00BB4CF4"/>
    <w:rsid w:val="00BB54DE"/>
    <w:rsid w:val="00BB5D91"/>
    <w:rsid w:val="00BB7ADA"/>
    <w:rsid w:val="00BB7AFC"/>
    <w:rsid w:val="00BC1E07"/>
    <w:rsid w:val="00BC29C3"/>
    <w:rsid w:val="00BC2B1A"/>
    <w:rsid w:val="00BC3C09"/>
    <w:rsid w:val="00BC51B8"/>
    <w:rsid w:val="00BC5675"/>
    <w:rsid w:val="00BC5A9B"/>
    <w:rsid w:val="00BC60F1"/>
    <w:rsid w:val="00BC769F"/>
    <w:rsid w:val="00BC7A4C"/>
    <w:rsid w:val="00BC7FF9"/>
    <w:rsid w:val="00BD11C2"/>
    <w:rsid w:val="00BD13CB"/>
    <w:rsid w:val="00BD2527"/>
    <w:rsid w:val="00BD26AD"/>
    <w:rsid w:val="00BD2A4A"/>
    <w:rsid w:val="00BD3043"/>
    <w:rsid w:val="00BD359D"/>
    <w:rsid w:val="00BD3855"/>
    <w:rsid w:val="00BD3DCE"/>
    <w:rsid w:val="00BD3E64"/>
    <w:rsid w:val="00BD51B3"/>
    <w:rsid w:val="00BD5628"/>
    <w:rsid w:val="00BD5AF3"/>
    <w:rsid w:val="00BD6C21"/>
    <w:rsid w:val="00BD7681"/>
    <w:rsid w:val="00BD7EF8"/>
    <w:rsid w:val="00BE0514"/>
    <w:rsid w:val="00BE190E"/>
    <w:rsid w:val="00BE1EC4"/>
    <w:rsid w:val="00BE2377"/>
    <w:rsid w:val="00BE32F0"/>
    <w:rsid w:val="00BE3345"/>
    <w:rsid w:val="00BE4BC7"/>
    <w:rsid w:val="00BE5A4D"/>
    <w:rsid w:val="00BE61C8"/>
    <w:rsid w:val="00BE64F5"/>
    <w:rsid w:val="00BE79A6"/>
    <w:rsid w:val="00BE7C03"/>
    <w:rsid w:val="00BF01C1"/>
    <w:rsid w:val="00BF0371"/>
    <w:rsid w:val="00BF086C"/>
    <w:rsid w:val="00BF091B"/>
    <w:rsid w:val="00BF0DB9"/>
    <w:rsid w:val="00BF14BE"/>
    <w:rsid w:val="00BF1A73"/>
    <w:rsid w:val="00BF2508"/>
    <w:rsid w:val="00BF298B"/>
    <w:rsid w:val="00BF33D2"/>
    <w:rsid w:val="00BF37C2"/>
    <w:rsid w:val="00BF3935"/>
    <w:rsid w:val="00BF39BB"/>
    <w:rsid w:val="00BF46BB"/>
    <w:rsid w:val="00BF5018"/>
    <w:rsid w:val="00BF6E2A"/>
    <w:rsid w:val="00C00466"/>
    <w:rsid w:val="00C00A00"/>
    <w:rsid w:val="00C01001"/>
    <w:rsid w:val="00C01112"/>
    <w:rsid w:val="00C01494"/>
    <w:rsid w:val="00C025E7"/>
    <w:rsid w:val="00C0263E"/>
    <w:rsid w:val="00C051C2"/>
    <w:rsid w:val="00C059EF"/>
    <w:rsid w:val="00C05D4A"/>
    <w:rsid w:val="00C068C4"/>
    <w:rsid w:val="00C069A8"/>
    <w:rsid w:val="00C074CA"/>
    <w:rsid w:val="00C07CF0"/>
    <w:rsid w:val="00C10625"/>
    <w:rsid w:val="00C108ED"/>
    <w:rsid w:val="00C110A2"/>
    <w:rsid w:val="00C1184C"/>
    <w:rsid w:val="00C11CF3"/>
    <w:rsid w:val="00C12BBE"/>
    <w:rsid w:val="00C12C0D"/>
    <w:rsid w:val="00C134D8"/>
    <w:rsid w:val="00C13FCD"/>
    <w:rsid w:val="00C14282"/>
    <w:rsid w:val="00C20CDF"/>
    <w:rsid w:val="00C23456"/>
    <w:rsid w:val="00C2390A"/>
    <w:rsid w:val="00C2498B"/>
    <w:rsid w:val="00C24E8B"/>
    <w:rsid w:val="00C25285"/>
    <w:rsid w:val="00C25C9D"/>
    <w:rsid w:val="00C25CDF"/>
    <w:rsid w:val="00C263A8"/>
    <w:rsid w:val="00C2644C"/>
    <w:rsid w:val="00C26807"/>
    <w:rsid w:val="00C27461"/>
    <w:rsid w:val="00C27618"/>
    <w:rsid w:val="00C30A10"/>
    <w:rsid w:val="00C332DC"/>
    <w:rsid w:val="00C333CA"/>
    <w:rsid w:val="00C33D18"/>
    <w:rsid w:val="00C3696D"/>
    <w:rsid w:val="00C400BA"/>
    <w:rsid w:val="00C4140E"/>
    <w:rsid w:val="00C414D7"/>
    <w:rsid w:val="00C420DF"/>
    <w:rsid w:val="00C43040"/>
    <w:rsid w:val="00C43E3A"/>
    <w:rsid w:val="00C44D2D"/>
    <w:rsid w:val="00C50110"/>
    <w:rsid w:val="00C52C4B"/>
    <w:rsid w:val="00C5351B"/>
    <w:rsid w:val="00C53DDA"/>
    <w:rsid w:val="00C54C15"/>
    <w:rsid w:val="00C56DF6"/>
    <w:rsid w:val="00C5737B"/>
    <w:rsid w:val="00C6038C"/>
    <w:rsid w:val="00C60584"/>
    <w:rsid w:val="00C6060A"/>
    <w:rsid w:val="00C60B28"/>
    <w:rsid w:val="00C61E69"/>
    <w:rsid w:val="00C62091"/>
    <w:rsid w:val="00C6258D"/>
    <w:rsid w:val="00C62A66"/>
    <w:rsid w:val="00C63122"/>
    <w:rsid w:val="00C63628"/>
    <w:rsid w:val="00C64FD4"/>
    <w:rsid w:val="00C67663"/>
    <w:rsid w:val="00C679EE"/>
    <w:rsid w:val="00C67A29"/>
    <w:rsid w:val="00C70053"/>
    <w:rsid w:val="00C705A5"/>
    <w:rsid w:val="00C729D3"/>
    <w:rsid w:val="00C729E7"/>
    <w:rsid w:val="00C72B5E"/>
    <w:rsid w:val="00C73F92"/>
    <w:rsid w:val="00C73FA9"/>
    <w:rsid w:val="00C74FDF"/>
    <w:rsid w:val="00C76B12"/>
    <w:rsid w:val="00C77E0D"/>
    <w:rsid w:val="00C801DC"/>
    <w:rsid w:val="00C8146A"/>
    <w:rsid w:val="00C81AD4"/>
    <w:rsid w:val="00C832A5"/>
    <w:rsid w:val="00C847BE"/>
    <w:rsid w:val="00C84EB8"/>
    <w:rsid w:val="00C853DA"/>
    <w:rsid w:val="00C85492"/>
    <w:rsid w:val="00C874D6"/>
    <w:rsid w:val="00C87B91"/>
    <w:rsid w:val="00C87F92"/>
    <w:rsid w:val="00C904F1"/>
    <w:rsid w:val="00C93076"/>
    <w:rsid w:val="00C9363B"/>
    <w:rsid w:val="00C9407F"/>
    <w:rsid w:val="00C9418E"/>
    <w:rsid w:val="00C94270"/>
    <w:rsid w:val="00C9510D"/>
    <w:rsid w:val="00C9524A"/>
    <w:rsid w:val="00C9531E"/>
    <w:rsid w:val="00C956C0"/>
    <w:rsid w:val="00C95F61"/>
    <w:rsid w:val="00C96A49"/>
    <w:rsid w:val="00C96D02"/>
    <w:rsid w:val="00C96F79"/>
    <w:rsid w:val="00C97053"/>
    <w:rsid w:val="00CA0E4A"/>
    <w:rsid w:val="00CA0E8F"/>
    <w:rsid w:val="00CA1042"/>
    <w:rsid w:val="00CA19D6"/>
    <w:rsid w:val="00CA227B"/>
    <w:rsid w:val="00CA2681"/>
    <w:rsid w:val="00CA3109"/>
    <w:rsid w:val="00CA3243"/>
    <w:rsid w:val="00CA33BB"/>
    <w:rsid w:val="00CA3F81"/>
    <w:rsid w:val="00CA6AA0"/>
    <w:rsid w:val="00CA6FBA"/>
    <w:rsid w:val="00CA73C2"/>
    <w:rsid w:val="00CA7B87"/>
    <w:rsid w:val="00CA7D86"/>
    <w:rsid w:val="00CB049B"/>
    <w:rsid w:val="00CB06F9"/>
    <w:rsid w:val="00CB17AB"/>
    <w:rsid w:val="00CB2AB7"/>
    <w:rsid w:val="00CB2C14"/>
    <w:rsid w:val="00CB319C"/>
    <w:rsid w:val="00CB40E0"/>
    <w:rsid w:val="00CB4268"/>
    <w:rsid w:val="00CB43E5"/>
    <w:rsid w:val="00CB4887"/>
    <w:rsid w:val="00CB5E55"/>
    <w:rsid w:val="00CB6A87"/>
    <w:rsid w:val="00CB6FBF"/>
    <w:rsid w:val="00CB7E17"/>
    <w:rsid w:val="00CC0560"/>
    <w:rsid w:val="00CC1DFB"/>
    <w:rsid w:val="00CC2104"/>
    <w:rsid w:val="00CC22F9"/>
    <w:rsid w:val="00CC475F"/>
    <w:rsid w:val="00CC4EB8"/>
    <w:rsid w:val="00CC679E"/>
    <w:rsid w:val="00CC6A51"/>
    <w:rsid w:val="00CC7B1B"/>
    <w:rsid w:val="00CD32E1"/>
    <w:rsid w:val="00CD3CE8"/>
    <w:rsid w:val="00CD4064"/>
    <w:rsid w:val="00CD4BB8"/>
    <w:rsid w:val="00CD58EF"/>
    <w:rsid w:val="00CD5D01"/>
    <w:rsid w:val="00CD6873"/>
    <w:rsid w:val="00CD6D47"/>
    <w:rsid w:val="00CD7675"/>
    <w:rsid w:val="00CE03FA"/>
    <w:rsid w:val="00CE1881"/>
    <w:rsid w:val="00CE2F00"/>
    <w:rsid w:val="00CE3055"/>
    <w:rsid w:val="00CE3A87"/>
    <w:rsid w:val="00CE444A"/>
    <w:rsid w:val="00CE4555"/>
    <w:rsid w:val="00CE554B"/>
    <w:rsid w:val="00CE5B83"/>
    <w:rsid w:val="00CE6B4D"/>
    <w:rsid w:val="00CE6BE7"/>
    <w:rsid w:val="00CE6D9B"/>
    <w:rsid w:val="00CE71E3"/>
    <w:rsid w:val="00CE755F"/>
    <w:rsid w:val="00CF0624"/>
    <w:rsid w:val="00CF13B5"/>
    <w:rsid w:val="00CF2191"/>
    <w:rsid w:val="00CF2F3E"/>
    <w:rsid w:val="00CF35EF"/>
    <w:rsid w:val="00CF4815"/>
    <w:rsid w:val="00CF60A1"/>
    <w:rsid w:val="00CF68F3"/>
    <w:rsid w:val="00CF697C"/>
    <w:rsid w:val="00CF6ED6"/>
    <w:rsid w:val="00CF755D"/>
    <w:rsid w:val="00CF7737"/>
    <w:rsid w:val="00CF793F"/>
    <w:rsid w:val="00CF7A25"/>
    <w:rsid w:val="00CF7C08"/>
    <w:rsid w:val="00D00C78"/>
    <w:rsid w:val="00D01C0A"/>
    <w:rsid w:val="00D0207C"/>
    <w:rsid w:val="00D02C9E"/>
    <w:rsid w:val="00D03193"/>
    <w:rsid w:val="00D031A8"/>
    <w:rsid w:val="00D046FC"/>
    <w:rsid w:val="00D0549B"/>
    <w:rsid w:val="00D068BA"/>
    <w:rsid w:val="00D06DFF"/>
    <w:rsid w:val="00D06F2E"/>
    <w:rsid w:val="00D07F70"/>
    <w:rsid w:val="00D11054"/>
    <w:rsid w:val="00D11242"/>
    <w:rsid w:val="00D11CD6"/>
    <w:rsid w:val="00D1269E"/>
    <w:rsid w:val="00D13802"/>
    <w:rsid w:val="00D143D3"/>
    <w:rsid w:val="00D15DE1"/>
    <w:rsid w:val="00D15FA4"/>
    <w:rsid w:val="00D163D0"/>
    <w:rsid w:val="00D17D8C"/>
    <w:rsid w:val="00D2041F"/>
    <w:rsid w:val="00D20F72"/>
    <w:rsid w:val="00D2103F"/>
    <w:rsid w:val="00D21F92"/>
    <w:rsid w:val="00D225C0"/>
    <w:rsid w:val="00D22A45"/>
    <w:rsid w:val="00D23933"/>
    <w:rsid w:val="00D23A07"/>
    <w:rsid w:val="00D249D9"/>
    <w:rsid w:val="00D25053"/>
    <w:rsid w:val="00D251A1"/>
    <w:rsid w:val="00D27CF7"/>
    <w:rsid w:val="00D303EF"/>
    <w:rsid w:val="00D33E71"/>
    <w:rsid w:val="00D35C26"/>
    <w:rsid w:val="00D40CBF"/>
    <w:rsid w:val="00D41B70"/>
    <w:rsid w:val="00D4316D"/>
    <w:rsid w:val="00D451A1"/>
    <w:rsid w:val="00D455F3"/>
    <w:rsid w:val="00D45AE4"/>
    <w:rsid w:val="00D46195"/>
    <w:rsid w:val="00D505E2"/>
    <w:rsid w:val="00D50BB6"/>
    <w:rsid w:val="00D52EE2"/>
    <w:rsid w:val="00D53501"/>
    <w:rsid w:val="00D5386C"/>
    <w:rsid w:val="00D540A6"/>
    <w:rsid w:val="00D5473A"/>
    <w:rsid w:val="00D54D0A"/>
    <w:rsid w:val="00D55EF3"/>
    <w:rsid w:val="00D57218"/>
    <w:rsid w:val="00D57BE2"/>
    <w:rsid w:val="00D60B2A"/>
    <w:rsid w:val="00D616A7"/>
    <w:rsid w:val="00D61BE0"/>
    <w:rsid w:val="00D6282C"/>
    <w:rsid w:val="00D62908"/>
    <w:rsid w:val="00D62B56"/>
    <w:rsid w:val="00D6320B"/>
    <w:rsid w:val="00D63747"/>
    <w:rsid w:val="00D64599"/>
    <w:rsid w:val="00D64B55"/>
    <w:rsid w:val="00D66151"/>
    <w:rsid w:val="00D664E5"/>
    <w:rsid w:val="00D6767C"/>
    <w:rsid w:val="00D67827"/>
    <w:rsid w:val="00D700A4"/>
    <w:rsid w:val="00D7051B"/>
    <w:rsid w:val="00D7113F"/>
    <w:rsid w:val="00D729E8"/>
    <w:rsid w:val="00D72FA5"/>
    <w:rsid w:val="00D733E8"/>
    <w:rsid w:val="00D733EC"/>
    <w:rsid w:val="00D73686"/>
    <w:rsid w:val="00D7461D"/>
    <w:rsid w:val="00D74D0B"/>
    <w:rsid w:val="00D775D2"/>
    <w:rsid w:val="00D77738"/>
    <w:rsid w:val="00D802B7"/>
    <w:rsid w:val="00D80568"/>
    <w:rsid w:val="00D81187"/>
    <w:rsid w:val="00D8135F"/>
    <w:rsid w:val="00D81716"/>
    <w:rsid w:val="00D81877"/>
    <w:rsid w:val="00D81C55"/>
    <w:rsid w:val="00D82061"/>
    <w:rsid w:val="00D83D79"/>
    <w:rsid w:val="00D859B5"/>
    <w:rsid w:val="00D85AB5"/>
    <w:rsid w:val="00D86295"/>
    <w:rsid w:val="00D862F8"/>
    <w:rsid w:val="00D8649C"/>
    <w:rsid w:val="00D86784"/>
    <w:rsid w:val="00D878DA"/>
    <w:rsid w:val="00D8793B"/>
    <w:rsid w:val="00D879D1"/>
    <w:rsid w:val="00D901FD"/>
    <w:rsid w:val="00D91066"/>
    <w:rsid w:val="00D91A7B"/>
    <w:rsid w:val="00D91D14"/>
    <w:rsid w:val="00D93CAC"/>
    <w:rsid w:val="00D962AB"/>
    <w:rsid w:val="00D96558"/>
    <w:rsid w:val="00D967FA"/>
    <w:rsid w:val="00D97533"/>
    <w:rsid w:val="00D97AD0"/>
    <w:rsid w:val="00D97B90"/>
    <w:rsid w:val="00D97F9D"/>
    <w:rsid w:val="00DA0A3E"/>
    <w:rsid w:val="00DA1330"/>
    <w:rsid w:val="00DA14A3"/>
    <w:rsid w:val="00DA1A7E"/>
    <w:rsid w:val="00DA1ADC"/>
    <w:rsid w:val="00DA1BF0"/>
    <w:rsid w:val="00DA2CDD"/>
    <w:rsid w:val="00DA3486"/>
    <w:rsid w:val="00DA406A"/>
    <w:rsid w:val="00DA4150"/>
    <w:rsid w:val="00DB06C0"/>
    <w:rsid w:val="00DB09D2"/>
    <w:rsid w:val="00DB2D36"/>
    <w:rsid w:val="00DB30B2"/>
    <w:rsid w:val="00DB423A"/>
    <w:rsid w:val="00DB548B"/>
    <w:rsid w:val="00DB5765"/>
    <w:rsid w:val="00DB713F"/>
    <w:rsid w:val="00DC106C"/>
    <w:rsid w:val="00DC2259"/>
    <w:rsid w:val="00DC2C99"/>
    <w:rsid w:val="00DC2D12"/>
    <w:rsid w:val="00DC3718"/>
    <w:rsid w:val="00DC46C9"/>
    <w:rsid w:val="00DC47A4"/>
    <w:rsid w:val="00DC5248"/>
    <w:rsid w:val="00DC5C85"/>
    <w:rsid w:val="00DC67A1"/>
    <w:rsid w:val="00DC6A4D"/>
    <w:rsid w:val="00DD00D8"/>
    <w:rsid w:val="00DD058B"/>
    <w:rsid w:val="00DD08A7"/>
    <w:rsid w:val="00DD2029"/>
    <w:rsid w:val="00DD30B2"/>
    <w:rsid w:val="00DD34EF"/>
    <w:rsid w:val="00DD5825"/>
    <w:rsid w:val="00DD6914"/>
    <w:rsid w:val="00DD785C"/>
    <w:rsid w:val="00DD7874"/>
    <w:rsid w:val="00DE042F"/>
    <w:rsid w:val="00DE0604"/>
    <w:rsid w:val="00DE12D7"/>
    <w:rsid w:val="00DE196C"/>
    <w:rsid w:val="00DE2EF3"/>
    <w:rsid w:val="00DE49E8"/>
    <w:rsid w:val="00DE617C"/>
    <w:rsid w:val="00DE6C7D"/>
    <w:rsid w:val="00DE766E"/>
    <w:rsid w:val="00DF1524"/>
    <w:rsid w:val="00DF2382"/>
    <w:rsid w:val="00DF2C1A"/>
    <w:rsid w:val="00DF4349"/>
    <w:rsid w:val="00DF47F2"/>
    <w:rsid w:val="00DF62FA"/>
    <w:rsid w:val="00E0062D"/>
    <w:rsid w:val="00E016DB"/>
    <w:rsid w:val="00E0197C"/>
    <w:rsid w:val="00E0237A"/>
    <w:rsid w:val="00E0254F"/>
    <w:rsid w:val="00E02B10"/>
    <w:rsid w:val="00E04084"/>
    <w:rsid w:val="00E04B3B"/>
    <w:rsid w:val="00E07445"/>
    <w:rsid w:val="00E10087"/>
    <w:rsid w:val="00E10DED"/>
    <w:rsid w:val="00E111E4"/>
    <w:rsid w:val="00E11F09"/>
    <w:rsid w:val="00E140BB"/>
    <w:rsid w:val="00E142C1"/>
    <w:rsid w:val="00E14BB9"/>
    <w:rsid w:val="00E14F5A"/>
    <w:rsid w:val="00E15B74"/>
    <w:rsid w:val="00E15BF2"/>
    <w:rsid w:val="00E17157"/>
    <w:rsid w:val="00E17D8F"/>
    <w:rsid w:val="00E2032A"/>
    <w:rsid w:val="00E21DE9"/>
    <w:rsid w:val="00E21F15"/>
    <w:rsid w:val="00E2327B"/>
    <w:rsid w:val="00E24AF7"/>
    <w:rsid w:val="00E2632E"/>
    <w:rsid w:val="00E302D9"/>
    <w:rsid w:val="00E31502"/>
    <w:rsid w:val="00E32462"/>
    <w:rsid w:val="00E33189"/>
    <w:rsid w:val="00E33A57"/>
    <w:rsid w:val="00E34614"/>
    <w:rsid w:val="00E3463F"/>
    <w:rsid w:val="00E34B6C"/>
    <w:rsid w:val="00E361F5"/>
    <w:rsid w:val="00E40E94"/>
    <w:rsid w:val="00E40FE6"/>
    <w:rsid w:val="00E40FE8"/>
    <w:rsid w:val="00E41446"/>
    <w:rsid w:val="00E4193F"/>
    <w:rsid w:val="00E41B0C"/>
    <w:rsid w:val="00E42341"/>
    <w:rsid w:val="00E42867"/>
    <w:rsid w:val="00E42BD0"/>
    <w:rsid w:val="00E42CBB"/>
    <w:rsid w:val="00E43520"/>
    <w:rsid w:val="00E43715"/>
    <w:rsid w:val="00E43D61"/>
    <w:rsid w:val="00E44B8A"/>
    <w:rsid w:val="00E46295"/>
    <w:rsid w:val="00E47AC6"/>
    <w:rsid w:val="00E47D62"/>
    <w:rsid w:val="00E513FC"/>
    <w:rsid w:val="00E5158C"/>
    <w:rsid w:val="00E516D9"/>
    <w:rsid w:val="00E52286"/>
    <w:rsid w:val="00E524E6"/>
    <w:rsid w:val="00E52ABE"/>
    <w:rsid w:val="00E533B7"/>
    <w:rsid w:val="00E54E2C"/>
    <w:rsid w:val="00E55458"/>
    <w:rsid w:val="00E5716A"/>
    <w:rsid w:val="00E6166A"/>
    <w:rsid w:val="00E64356"/>
    <w:rsid w:val="00E65BE5"/>
    <w:rsid w:val="00E6682E"/>
    <w:rsid w:val="00E6752B"/>
    <w:rsid w:val="00E679D3"/>
    <w:rsid w:val="00E67A22"/>
    <w:rsid w:val="00E7044D"/>
    <w:rsid w:val="00E704EA"/>
    <w:rsid w:val="00E70611"/>
    <w:rsid w:val="00E70D37"/>
    <w:rsid w:val="00E713CD"/>
    <w:rsid w:val="00E736FF"/>
    <w:rsid w:val="00E740FB"/>
    <w:rsid w:val="00E75324"/>
    <w:rsid w:val="00E764C3"/>
    <w:rsid w:val="00E765EF"/>
    <w:rsid w:val="00E768C5"/>
    <w:rsid w:val="00E80C14"/>
    <w:rsid w:val="00E82D9D"/>
    <w:rsid w:val="00E83C85"/>
    <w:rsid w:val="00E84623"/>
    <w:rsid w:val="00E85902"/>
    <w:rsid w:val="00E85A40"/>
    <w:rsid w:val="00E85CDF"/>
    <w:rsid w:val="00E86896"/>
    <w:rsid w:val="00E870EA"/>
    <w:rsid w:val="00E872C7"/>
    <w:rsid w:val="00E87808"/>
    <w:rsid w:val="00E8790A"/>
    <w:rsid w:val="00E87CD3"/>
    <w:rsid w:val="00E9064F"/>
    <w:rsid w:val="00E910A9"/>
    <w:rsid w:val="00E91247"/>
    <w:rsid w:val="00E91C68"/>
    <w:rsid w:val="00E92C64"/>
    <w:rsid w:val="00E936CA"/>
    <w:rsid w:val="00E95222"/>
    <w:rsid w:val="00E9584C"/>
    <w:rsid w:val="00E958E8"/>
    <w:rsid w:val="00E96614"/>
    <w:rsid w:val="00E96623"/>
    <w:rsid w:val="00E96668"/>
    <w:rsid w:val="00EA0652"/>
    <w:rsid w:val="00EA2DB8"/>
    <w:rsid w:val="00EA5DFA"/>
    <w:rsid w:val="00EB1681"/>
    <w:rsid w:val="00EB2CB4"/>
    <w:rsid w:val="00EB3E97"/>
    <w:rsid w:val="00EC26FE"/>
    <w:rsid w:val="00EC3B54"/>
    <w:rsid w:val="00EC3C37"/>
    <w:rsid w:val="00EC412F"/>
    <w:rsid w:val="00EC4240"/>
    <w:rsid w:val="00EC4979"/>
    <w:rsid w:val="00EC7005"/>
    <w:rsid w:val="00EC7331"/>
    <w:rsid w:val="00EC78FA"/>
    <w:rsid w:val="00ED01AD"/>
    <w:rsid w:val="00ED101D"/>
    <w:rsid w:val="00ED1760"/>
    <w:rsid w:val="00ED17E7"/>
    <w:rsid w:val="00ED2146"/>
    <w:rsid w:val="00ED302F"/>
    <w:rsid w:val="00ED3A4A"/>
    <w:rsid w:val="00ED43BB"/>
    <w:rsid w:val="00ED5710"/>
    <w:rsid w:val="00ED762C"/>
    <w:rsid w:val="00EE5946"/>
    <w:rsid w:val="00EE63FC"/>
    <w:rsid w:val="00EE6849"/>
    <w:rsid w:val="00EE790A"/>
    <w:rsid w:val="00EF0613"/>
    <w:rsid w:val="00EF0DCB"/>
    <w:rsid w:val="00EF2A94"/>
    <w:rsid w:val="00EF52A4"/>
    <w:rsid w:val="00EF5B92"/>
    <w:rsid w:val="00EF7333"/>
    <w:rsid w:val="00F0078D"/>
    <w:rsid w:val="00F023EE"/>
    <w:rsid w:val="00F039A3"/>
    <w:rsid w:val="00F04E5C"/>
    <w:rsid w:val="00F0582D"/>
    <w:rsid w:val="00F06F74"/>
    <w:rsid w:val="00F07709"/>
    <w:rsid w:val="00F07A2D"/>
    <w:rsid w:val="00F11249"/>
    <w:rsid w:val="00F11F0B"/>
    <w:rsid w:val="00F125E1"/>
    <w:rsid w:val="00F1265E"/>
    <w:rsid w:val="00F129BB"/>
    <w:rsid w:val="00F13F50"/>
    <w:rsid w:val="00F14A5A"/>
    <w:rsid w:val="00F14C44"/>
    <w:rsid w:val="00F160C2"/>
    <w:rsid w:val="00F16B52"/>
    <w:rsid w:val="00F16C1A"/>
    <w:rsid w:val="00F16DF9"/>
    <w:rsid w:val="00F17658"/>
    <w:rsid w:val="00F17C0E"/>
    <w:rsid w:val="00F210AC"/>
    <w:rsid w:val="00F211CF"/>
    <w:rsid w:val="00F212D8"/>
    <w:rsid w:val="00F21403"/>
    <w:rsid w:val="00F249C2"/>
    <w:rsid w:val="00F253C7"/>
    <w:rsid w:val="00F2733C"/>
    <w:rsid w:val="00F279A4"/>
    <w:rsid w:val="00F3097D"/>
    <w:rsid w:val="00F30C0A"/>
    <w:rsid w:val="00F310D6"/>
    <w:rsid w:val="00F311C7"/>
    <w:rsid w:val="00F3259B"/>
    <w:rsid w:val="00F35481"/>
    <w:rsid w:val="00F3562D"/>
    <w:rsid w:val="00F3664A"/>
    <w:rsid w:val="00F36B6C"/>
    <w:rsid w:val="00F4209F"/>
    <w:rsid w:val="00F42383"/>
    <w:rsid w:val="00F438B4"/>
    <w:rsid w:val="00F43CC8"/>
    <w:rsid w:val="00F4428C"/>
    <w:rsid w:val="00F4468D"/>
    <w:rsid w:val="00F44B88"/>
    <w:rsid w:val="00F44CB4"/>
    <w:rsid w:val="00F4528C"/>
    <w:rsid w:val="00F469A1"/>
    <w:rsid w:val="00F47BA8"/>
    <w:rsid w:val="00F50150"/>
    <w:rsid w:val="00F5048C"/>
    <w:rsid w:val="00F5191F"/>
    <w:rsid w:val="00F52791"/>
    <w:rsid w:val="00F54043"/>
    <w:rsid w:val="00F557C1"/>
    <w:rsid w:val="00F574E8"/>
    <w:rsid w:val="00F577C0"/>
    <w:rsid w:val="00F57A69"/>
    <w:rsid w:val="00F57BA9"/>
    <w:rsid w:val="00F601BD"/>
    <w:rsid w:val="00F613BC"/>
    <w:rsid w:val="00F62E56"/>
    <w:rsid w:val="00F63FFE"/>
    <w:rsid w:val="00F64C25"/>
    <w:rsid w:val="00F6525F"/>
    <w:rsid w:val="00F6533F"/>
    <w:rsid w:val="00F6669A"/>
    <w:rsid w:val="00F67366"/>
    <w:rsid w:val="00F67D49"/>
    <w:rsid w:val="00F70567"/>
    <w:rsid w:val="00F70E3F"/>
    <w:rsid w:val="00F70FC0"/>
    <w:rsid w:val="00F7161F"/>
    <w:rsid w:val="00F718F5"/>
    <w:rsid w:val="00F71B14"/>
    <w:rsid w:val="00F73075"/>
    <w:rsid w:val="00F731E5"/>
    <w:rsid w:val="00F7330B"/>
    <w:rsid w:val="00F73509"/>
    <w:rsid w:val="00F73D5D"/>
    <w:rsid w:val="00F763B1"/>
    <w:rsid w:val="00F765D2"/>
    <w:rsid w:val="00F77AAF"/>
    <w:rsid w:val="00F81319"/>
    <w:rsid w:val="00F8194F"/>
    <w:rsid w:val="00F819C2"/>
    <w:rsid w:val="00F84CD7"/>
    <w:rsid w:val="00F84EFB"/>
    <w:rsid w:val="00F8574E"/>
    <w:rsid w:val="00F86FF1"/>
    <w:rsid w:val="00F90216"/>
    <w:rsid w:val="00F923B5"/>
    <w:rsid w:val="00F92BB1"/>
    <w:rsid w:val="00F9443B"/>
    <w:rsid w:val="00F95905"/>
    <w:rsid w:val="00F95B64"/>
    <w:rsid w:val="00F967F6"/>
    <w:rsid w:val="00FA1F56"/>
    <w:rsid w:val="00FA2A9F"/>
    <w:rsid w:val="00FA2F55"/>
    <w:rsid w:val="00FA4DDD"/>
    <w:rsid w:val="00FA51E7"/>
    <w:rsid w:val="00FA675C"/>
    <w:rsid w:val="00FB01B5"/>
    <w:rsid w:val="00FB0DA0"/>
    <w:rsid w:val="00FB2D8A"/>
    <w:rsid w:val="00FB3F04"/>
    <w:rsid w:val="00FB3FF4"/>
    <w:rsid w:val="00FB4BBC"/>
    <w:rsid w:val="00FB6B9B"/>
    <w:rsid w:val="00FC0DD8"/>
    <w:rsid w:val="00FC1F1B"/>
    <w:rsid w:val="00FC3036"/>
    <w:rsid w:val="00FC359B"/>
    <w:rsid w:val="00FC3A86"/>
    <w:rsid w:val="00FC3B5F"/>
    <w:rsid w:val="00FC3F85"/>
    <w:rsid w:val="00FC4760"/>
    <w:rsid w:val="00FC4ABB"/>
    <w:rsid w:val="00FC5F37"/>
    <w:rsid w:val="00FD1FC0"/>
    <w:rsid w:val="00FD2D9B"/>
    <w:rsid w:val="00FD4696"/>
    <w:rsid w:val="00FD5188"/>
    <w:rsid w:val="00FD52DD"/>
    <w:rsid w:val="00FD6A7D"/>
    <w:rsid w:val="00FD6FBC"/>
    <w:rsid w:val="00FD740F"/>
    <w:rsid w:val="00FE011D"/>
    <w:rsid w:val="00FE0561"/>
    <w:rsid w:val="00FE0974"/>
    <w:rsid w:val="00FE2CFA"/>
    <w:rsid w:val="00FE2FAF"/>
    <w:rsid w:val="00FE379E"/>
    <w:rsid w:val="00FE3BE7"/>
    <w:rsid w:val="00FE504D"/>
    <w:rsid w:val="00FE62FE"/>
    <w:rsid w:val="00FE68A6"/>
    <w:rsid w:val="00FE76FD"/>
    <w:rsid w:val="00FF0339"/>
    <w:rsid w:val="00FF0C6B"/>
    <w:rsid w:val="00FF266E"/>
    <w:rsid w:val="00FF36D3"/>
    <w:rsid w:val="00FF3D8E"/>
    <w:rsid w:val="00FF4F02"/>
    <w:rsid w:val="01281B77"/>
    <w:rsid w:val="019D7BD4"/>
    <w:rsid w:val="021843FC"/>
    <w:rsid w:val="0266756C"/>
    <w:rsid w:val="034B2092"/>
    <w:rsid w:val="03672D49"/>
    <w:rsid w:val="03733667"/>
    <w:rsid w:val="03CE321C"/>
    <w:rsid w:val="054A5E37"/>
    <w:rsid w:val="05523FF6"/>
    <w:rsid w:val="057A5163"/>
    <w:rsid w:val="068E5287"/>
    <w:rsid w:val="06AD63FF"/>
    <w:rsid w:val="073162F8"/>
    <w:rsid w:val="07E60B4D"/>
    <w:rsid w:val="08311986"/>
    <w:rsid w:val="08621C59"/>
    <w:rsid w:val="08766712"/>
    <w:rsid w:val="08E14DF4"/>
    <w:rsid w:val="0B462A5B"/>
    <w:rsid w:val="0B567831"/>
    <w:rsid w:val="0B7E51D6"/>
    <w:rsid w:val="0BA17E11"/>
    <w:rsid w:val="0C61791F"/>
    <w:rsid w:val="0C967BE5"/>
    <w:rsid w:val="0C9A6C1B"/>
    <w:rsid w:val="0E724F5E"/>
    <w:rsid w:val="0F177D95"/>
    <w:rsid w:val="0F8D40F4"/>
    <w:rsid w:val="0FE10D98"/>
    <w:rsid w:val="105A1A72"/>
    <w:rsid w:val="107660C2"/>
    <w:rsid w:val="11205904"/>
    <w:rsid w:val="12BA6C22"/>
    <w:rsid w:val="139929A9"/>
    <w:rsid w:val="15175270"/>
    <w:rsid w:val="153C4B43"/>
    <w:rsid w:val="15BC44C1"/>
    <w:rsid w:val="15E65382"/>
    <w:rsid w:val="16C039A3"/>
    <w:rsid w:val="16DC4F7E"/>
    <w:rsid w:val="191B789A"/>
    <w:rsid w:val="195E3385"/>
    <w:rsid w:val="19775CE2"/>
    <w:rsid w:val="1996348B"/>
    <w:rsid w:val="1B285735"/>
    <w:rsid w:val="1BF32C90"/>
    <w:rsid w:val="1C66134A"/>
    <w:rsid w:val="1CB03812"/>
    <w:rsid w:val="1D1509F8"/>
    <w:rsid w:val="1EAE31F6"/>
    <w:rsid w:val="1EC00764"/>
    <w:rsid w:val="1EC16289"/>
    <w:rsid w:val="1EF65B91"/>
    <w:rsid w:val="1F5B7410"/>
    <w:rsid w:val="1FCA49FD"/>
    <w:rsid w:val="22E353C6"/>
    <w:rsid w:val="24A55728"/>
    <w:rsid w:val="24ED44DA"/>
    <w:rsid w:val="250A1120"/>
    <w:rsid w:val="2514641A"/>
    <w:rsid w:val="2518479C"/>
    <w:rsid w:val="25630B59"/>
    <w:rsid w:val="2670670F"/>
    <w:rsid w:val="27604855"/>
    <w:rsid w:val="282C005B"/>
    <w:rsid w:val="284E28FF"/>
    <w:rsid w:val="28A85E2E"/>
    <w:rsid w:val="28D64AEB"/>
    <w:rsid w:val="2A5F1C5E"/>
    <w:rsid w:val="2B177268"/>
    <w:rsid w:val="2B386E4B"/>
    <w:rsid w:val="2BC46086"/>
    <w:rsid w:val="2C1F7C54"/>
    <w:rsid w:val="2D124FDB"/>
    <w:rsid w:val="2DC65177"/>
    <w:rsid w:val="2DD12008"/>
    <w:rsid w:val="2DD559D9"/>
    <w:rsid w:val="2E001A37"/>
    <w:rsid w:val="2E542883"/>
    <w:rsid w:val="2E9D750C"/>
    <w:rsid w:val="2EDB1832"/>
    <w:rsid w:val="2F350375"/>
    <w:rsid w:val="302B4204"/>
    <w:rsid w:val="304C289C"/>
    <w:rsid w:val="31354B86"/>
    <w:rsid w:val="31601B15"/>
    <w:rsid w:val="32077F2A"/>
    <w:rsid w:val="323E6274"/>
    <w:rsid w:val="33144268"/>
    <w:rsid w:val="34312EA7"/>
    <w:rsid w:val="34E32074"/>
    <w:rsid w:val="35570D54"/>
    <w:rsid w:val="355E70CB"/>
    <w:rsid w:val="357508CC"/>
    <w:rsid w:val="359F3EDA"/>
    <w:rsid w:val="3671785E"/>
    <w:rsid w:val="36CA45F1"/>
    <w:rsid w:val="378D5E13"/>
    <w:rsid w:val="37D50947"/>
    <w:rsid w:val="38EA1284"/>
    <w:rsid w:val="39A57D62"/>
    <w:rsid w:val="3AC47D23"/>
    <w:rsid w:val="3C1C6B44"/>
    <w:rsid w:val="3C716E3D"/>
    <w:rsid w:val="3CE753A4"/>
    <w:rsid w:val="3D5D6F35"/>
    <w:rsid w:val="3DD36C11"/>
    <w:rsid w:val="3DED4FDB"/>
    <w:rsid w:val="3E266F50"/>
    <w:rsid w:val="3FDD65EB"/>
    <w:rsid w:val="400F62B6"/>
    <w:rsid w:val="401A329F"/>
    <w:rsid w:val="41F37097"/>
    <w:rsid w:val="41F91845"/>
    <w:rsid w:val="420C4E21"/>
    <w:rsid w:val="42C845CB"/>
    <w:rsid w:val="42E63A08"/>
    <w:rsid w:val="437C1E1E"/>
    <w:rsid w:val="438C412A"/>
    <w:rsid w:val="43B37C6F"/>
    <w:rsid w:val="44947F61"/>
    <w:rsid w:val="46530A3C"/>
    <w:rsid w:val="46937842"/>
    <w:rsid w:val="46F26477"/>
    <w:rsid w:val="48094A0C"/>
    <w:rsid w:val="481D19AC"/>
    <w:rsid w:val="484B09BF"/>
    <w:rsid w:val="48CE03B5"/>
    <w:rsid w:val="48E12065"/>
    <w:rsid w:val="494470C7"/>
    <w:rsid w:val="4A47481D"/>
    <w:rsid w:val="4B2C3AC3"/>
    <w:rsid w:val="4C021E6E"/>
    <w:rsid w:val="4C78185C"/>
    <w:rsid w:val="4D330C2B"/>
    <w:rsid w:val="4D923CEF"/>
    <w:rsid w:val="4FCA3A55"/>
    <w:rsid w:val="50B4390A"/>
    <w:rsid w:val="51314A60"/>
    <w:rsid w:val="51E45A84"/>
    <w:rsid w:val="52FD0B37"/>
    <w:rsid w:val="53132F63"/>
    <w:rsid w:val="531D5B52"/>
    <w:rsid w:val="54B62D45"/>
    <w:rsid w:val="54BE0739"/>
    <w:rsid w:val="558733D9"/>
    <w:rsid w:val="55905E15"/>
    <w:rsid w:val="559840E8"/>
    <w:rsid w:val="586D73E6"/>
    <w:rsid w:val="590C20D1"/>
    <w:rsid w:val="59713EB5"/>
    <w:rsid w:val="5A2E54EE"/>
    <w:rsid w:val="5A3226AA"/>
    <w:rsid w:val="5A444A0B"/>
    <w:rsid w:val="5A785436"/>
    <w:rsid w:val="5AF83E14"/>
    <w:rsid w:val="5B836824"/>
    <w:rsid w:val="5BA02FFB"/>
    <w:rsid w:val="5BE46E6A"/>
    <w:rsid w:val="5C145AB3"/>
    <w:rsid w:val="5C681B4E"/>
    <w:rsid w:val="5C815A23"/>
    <w:rsid w:val="5CA258E5"/>
    <w:rsid w:val="5E0C6D0C"/>
    <w:rsid w:val="5E7568B6"/>
    <w:rsid w:val="5E963440"/>
    <w:rsid w:val="5EBF43EF"/>
    <w:rsid w:val="5FDA75FD"/>
    <w:rsid w:val="619A5F6F"/>
    <w:rsid w:val="61D65090"/>
    <w:rsid w:val="62C92EC1"/>
    <w:rsid w:val="645A63AB"/>
    <w:rsid w:val="64C21D6E"/>
    <w:rsid w:val="65F42C7B"/>
    <w:rsid w:val="67F27712"/>
    <w:rsid w:val="68B87F67"/>
    <w:rsid w:val="694107AA"/>
    <w:rsid w:val="69685DD1"/>
    <w:rsid w:val="69B02B95"/>
    <w:rsid w:val="6A8B61C3"/>
    <w:rsid w:val="6AE44B52"/>
    <w:rsid w:val="6AF309EC"/>
    <w:rsid w:val="6B063433"/>
    <w:rsid w:val="6B39044D"/>
    <w:rsid w:val="6B4429C3"/>
    <w:rsid w:val="6BCA2381"/>
    <w:rsid w:val="6CFD0BAD"/>
    <w:rsid w:val="6E9B346B"/>
    <w:rsid w:val="6ED90F9E"/>
    <w:rsid w:val="6F5F4D81"/>
    <w:rsid w:val="6FD56030"/>
    <w:rsid w:val="6FE72C4C"/>
    <w:rsid w:val="705D67D1"/>
    <w:rsid w:val="71231640"/>
    <w:rsid w:val="71B144B9"/>
    <w:rsid w:val="722F77B8"/>
    <w:rsid w:val="7299559E"/>
    <w:rsid w:val="749E2A1F"/>
    <w:rsid w:val="74F63D21"/>
    <w:rsid w:val="751F24CC"/>
    <w:rsid w:val="7579346D"/>
    <w:rsid w:val="76AB122C"/>
    <w:rsid w:val="782C2FFE"/>
    <w:rsid w:val="786D4690"/>
    <w:rsid w:val="79106930"/>
    <w:rsid w:val="791D508C"/>
    <w:rsid w:val="795D247F"/>
    <w:rsid w:val="798F5658"/>
    <w:rsid w:val="79C84675"/>
    <w:rsid w:val="7B233E13"/>
    <w:rsid w:val="7B4B1932"/>
    <w:rsid w:val="7BD84418"/>
    <w:rsid w:val="7C815CE0"/>
    <w:rsid w:val="7CB5649F"/>
    <w:rsid w:val="7CDE57A3"/>
    <w:rsid w:val="7D2B7C46"/>
    <w:rsid w:val="7FCB3784"/>
    <w:rsid w:val="FFBB17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iPriority="39" w:name="toc 5"/>
    <w:lsdException w:qFormat="1" w:unhideWhenUsed="0" w:uiPriority="0"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0"/>
    <w:qFormat/>
    <w:uiPriority w:val="0"/>
    <w:pPr>
      <w:keepNext/>
      <w:jc w:val="center"/>
      <w:outlineLvl w:val="0"/>
    </w:pPr>
    <w:rPr>
      <w:rFonts w:ascii="楷体_GB2312" w:eastAsia="楷体_GB2312"/>
      <w:b/>
      <w:bCs/>
    </w:rPr>
  </w:style>
  <w:style w:type="paragraph" w:styleId="4">
    <w:name w:val="heading 2"/>
    <w:basedOn w:val="1"/>
    <w:next w:val="1"/>
    <w:link w:val="41"/>
    <w:qFormat/>
    <w:uiPriority w:val="0"/>
    <w:pPr>
      <w:keepNext/>
      <w:keepLines/>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5">
    <w:name w:val="heading 3"/>
    <w:basedOn w:val="1"/>
    <w:next w:val="1"/>
    <w:link w:val="42"/>
    <w:qFormat/>
    <w:uiPriority w:val="0"/>
    <w:pPr>
      <w:keepNext/>
      <w:keepLines/>
      <w:spacing w:before="260" w:after="260" w:line="416" w:lineRule="auto"/>
      <w:outlineLvl w:val="2"/>
    </w:pPr>
    <w:rPr>
      <w:b/>
      <w:bCs/>
      <w:sz w:val="32"/>
      <w:szCs w:val="32"/>
    </w:rPr>
  </w:style>
  <w:style w:type="paragraph" w:styleId="6">
    <w:name w:val="heading 4"/>
    <w:basedOn w:val="1"/>
    <w:next w:val="1"/>
    <w:link w:val="43"/>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8"/>
    <w:link w:val="44"/>
    <w:qFormat/>
    <w:uiPriority w:val="0"/>
    <w:pPr>
      <w:keepNext/>
      <w:keepLines/>
      <w:tabs>
        <w:tab w:val="left" w:pos="1008"/>
      </w:tabs>
      <w:spacing w:before="280" w:after="290" w:line="376" w:lineRule="auto"/>
      <w:ind w:left="1008" w:hanging="1008"/>
      <w:outlineLvl w:val="4"/>
    </w:pPr>
    <w:rPr>
      <w:b/>
      <w:bCs/>
      <w:sz w:val="28"/>
      <w:szCs w:val="28"/>
      <w:lang w:val="zh-CN"/>
    </w:rPr>
  </w:style>
  <w:style w:type="paragraph" w:styleId="9">
    <w:name w:val="heading 6"/>
    <w:basedOn w:val="1"/>
    <w:next w:val="1"/>
    <w:qFormat/>
    <w:uiPriority w:val="0"/>
    <w:pPr>
      <w:keepNext/>
      <w:keepLines/>
      <w:spacing w:before="240" w:after="64" w:line="320" w:lineRule="auto"/>
      <w:outlineLvl w:val="5"/>
    </w:pPr>
    <w:rPr>
      <w:rFonts w:ascii="Arial" w:hAnsi="Arial" w:eastAsia="黑体" w:cs="Times New Roman"/>
      <w:b/>
      <w:bCs/>
      <w:sz w:val="24"/>
    </w:rPr>
  </w:style>
  <w:style w:type="character" w:default="1" w:styleId="35">
    <w:name w:val="Default Paragraph Font"/>
    <w:qFormat/>
    <w:uiPriority w:val="0"/>
    <w:rPr>
      <w:rFonts w:ascii="Times New Roman" w:hAnsi="Times New Roman" w:eastAsia="宋体" w:cs="Times New Roman"/>
    </w:rPr>
  </w:style>
  <w:style w:type="table" w:default="1" w:styleId="33">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Normal Indent"/>
    <w:basedOn w:val="1"/>
    <w:link w:val="45"/>
    <w:qFormat/>
    <w:uiPriority w:val="0"/>
    <w:pPr>
      <w:adjustRightInd w:val="0"/>
      <w:spacing w:line="312" w:lineRule="atLeast"/>
      <w:ind w:firstLine="420"/>
      <w:textAlignment w:val="baseline"/>
    </w:pPr>
    <w:rPr>
      <w:kern w:val="0"/>
      <w:szCs w:val="20"/>
    </w:rPr>
  </w:style>
  <w:style w:type="paragraph" w:customStyle="1" w:styleId="8">
    <w:name w:val="样式 正文缩进 + 首行缩进:  2 字符"/>
    <w:basedOn w:val="2"/>
    <w:link w:val="46"/>
    <w:qFormat/>
    <w:uiPriority w:val="0"/>
    <w:pPr>
      <w:adjustRightInd/>
      <w:spacing w:line="360" w:lineRule="auto"/>
      <w:ind w:firstLine="200" w:firstLineChars="200"/>
      <w:textAlignment w:val="auto"/>
    </w:pPr>
    <w:rPr>
      <w:kern w:val="2"/>
      <w:sz w:val="24"/>
      <w:lang w:val="zh-CN"/>
    </w:rPr>
  </w:style>
  <w:style w:type="paragraph" w:styleId="10">
    <w:name w:val="Document Map"/>
    <w:basedOn w:val="1"/>
    <w:qFormat/>
    <w:uiPriority w:val="0"/>
    <w:pPr>
      <w:shd w:val="clear" w:color="auto" w:fill="000080"/>
    </w:pPr>
    <w:rPr>
      <w:rFonts w:ascii="Times New Roman" w:hAnsi="Times New Roman" w:eastAsia="宋体" w:cs="Times New Roman"/>
    </w:rPr>
  </w:style>
  <w:style w:type="paragraph" w:styleId="11">
    <w:name w:val="annotation text"/>
    <w:basedOn w:val="1"/>
    <w:qFormat/>
    <w:uiPriority w:val="0"/>
    <w:pPr>
      <w:jc w:val="left"/>
    </w:pPr>
    <w:rPr>
      <w:rFonts w:ascii="Times New Roman" w:hAnsi="Times New Roman" w:eastAsia="宋体" w:cs="Times New Roman"/>
    </w:rPr>
  </w:style>
  <w:style w:type="paragraph" w:styleId="12">
    <w:name w:val="Body Text"/>
    <w:basedOn w:val="1"/>
    <w:next w:val="13"/>
    <w:link w:val="47"/>
    <w:qFormat/>
    <w:uiPriority w:val="0"/>
    <w:pPr>
      <w:spacing w:after="120"/>
    </w:pPr>
  </w:style>
  <w:style w:type="paragraph" w:styleId="13">
    <w:name w:val="Body Text First Indent"/>
    <w:basedOn w:val="12"/>
    <w:link w:val="48"/>
    <w:qFormat/>
    <w:uiPriority w:val="0"/>
    <w:pPr>
      <w:ind w:firstLine="420" w:firstLineChars="100"/>
    </w:pPr>
  </w:style>
  <w:style w:type="paragraph" w:styleId="14">
    <w:name w:val="Body Text Indent"/>
    <w:basedOn w:val="1"/>
    <w:next w:val="1"/>
    <w:link w:val="49"/>
    <w:qFormat/>
    <w:uiPriority w:val="0"/>
    <w:pPr>
      <w:ind w:left="480" w:hanging="480" w:hangingChars="200"/>
    </w:pPr>
    <w:rPr>
      <w:sz w:val="24"/>
    </w:rPr>
  </w:style>
  <w:style w:type="paragraph" w:styleId="15">
    <w:name w:val="Block Text"/>
    <w:basedOn w:val="1"/>
    <w:qFormat/>
    <w:uiPriority w:val="0"/>
    <w:pPr>
      <w:spacing w:after="120"/>
      <w:ind w:left="1440" w:leftChars="700" w:right="1440" w:rightChars="700"/>
    </w:pPr>
  </w:style>
  <w:style w:type="paragraph" w:styleId="16">
    <w:name w:val="toc 3"/>
    <w:basedOn w:val="1"/>
    <w:next w:val="1"/>
    <w:qFormat/>
    <w:uiPriority w:val="39"/>
    <w:pPr>
      <w:ind w:left="840" w:leftChars="400"/>
    </w:pPr>
    <w:rPr>
      <w:rFonts w:ascii="Times New Roman" w:hAnsi="Times New Roman" w:eastAsia="宋体" w:cs="Times New Roman"/>
    </w:rPr>
  </w:style>
  <w:style w:type="paragraph" w:styleId="17">
    <w:name w:val="Plain Text"/>
    <w:basedOn w:val="1"/>
    <w:link w:val="50"/>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18">
    <w:name w:val="Date"/>
    <w:basedOn w:val="1"/>
    <w:next w:val="1"/>
    <w:qFormat/>
    <w:uiPriority w:val="0"/>
    <w:pPr>
      <w:ind w:left="100" w:leftChars="2500"/>
    </w:pPr>
    <w:rPr>
      <w:rFonts w:ascii="Times New Roman" w:hAnsi="Times New Roman" w:eastAsia="宋体" w:cs="Times New Roman"/>
    </w:rPr>
  </w:style>
  <w:style w:type="paragraph" w:styleId="19">
    <w:name w:val="Body Text Indent 2"/>
    <w:basedOn w:val="1"/>
    <w:qFormat/>
    <w:uiPriority w:val="0"/>
    <w:pPr>
      <w:spacing w:line="500" w:lineRule="exact"/>
      <w:ind w:firstLine="511" w:firstLineChars="213"/>
    </w:pPr>
    <w:rPr>
      <w:rFonts w:ascii="Times New Roman" w:hAnsi="Times New Roman" w:eastAsia="宋体" w:cs="Times New Roman"/>
      <w:sz w:val="24"/>
    </w:rPr>
  </w:style>
  <w:style w:type="paragraph" w:styleId="20">
    <w:name w:val="Balloon Text"/>
    <w:basedOn w:val="1"/>
    <w:qFormat/>
    <w:uiPriority w:val="0"/>
    <w:rPr>
      <w:rFonts w:ascii="Times New Roman" w:hAnsi="Times New Roman" w:eastAsia="宋体" w:cs="Times New Roman"/>
      <w:sz w:val="18"/>
      <w:szCs w:val="18"/>
    </w:rPr>
  </w:style>
  <w:style w:type="paragraph" w:styleId="21">
    <w:name w:val="footer"/>
    <w:basedOn w:val="1"/>
    <w:link w:val="5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3">
    <w:name w:val="toc 1"/>
    <w:basedOn w:val="1"/>
    <w:next w:val="1"/>
    <w:qFormat/>
    <w:uiPriority w:val="39"/>
    <w:pPr>
      <w:tabs>
        <w:tab w:val="right" w:leader="dot" w:pos="9628"/>
      </w:tabs>
      <w:spacing w:line="480" w:lineRule="auto"/>
    </w:pPr>
    <w:rPr>
      <w:rFonts w:ascii="Arial" w:hAnsi="Arial" w:eastAsia="新宋体" w:cs="Arial"/>
      <w:bCs/>
      <w:sz w:val="24"/>
    </w:rPr>
  </w:style>
  <w:style w:type="paragraph" w:styleId="24">
    <w:name w:val="toc 4"/>
    <w:basedOn w:val="1"/>
    <w:next w:val="1"/>
    <w:qFormat/>
    <w:uiPriority w:val="39"/>
    <w:pPr>
      <w:autoSpaceDE w:val="0"/>
      <w:autoSpaceDN w:val="0"/>
      <w:adjustRightInd w:val="0"/>
      <w:ind w:left="1260" w:leftChars="600"/>
      <w:jc w:val="left"/>
    </w:pPr>
    <w:rPr>
      <w:kern w:val="0"/>
      <w:sz w:val="20"/>
      <w:szCs w:val="20"/>
    </w:rPr>
  </w:style>
  <w:style w:type="paragraph" w:styleId="25">
    <w:name w:val="footnote text"/>
    <w:unhideWhenUsed/>
    <w:qFormat/>
    <w:uiPriority w:val="99"/>
    <w:pPr>
      <w:spacing w:after="0" w:line="240" w:lineRule="auto"/>
    </w:pPr>
    <w:rPr>
      <w:rFonts w:ascii="Times New Roman" w:hAnsi="Times New Roman" w:eastAsia="宋体" w:cs="Times New Roman"/>
      <w:sz w:val="20"/>
      <w:szCs w:val="20"/>
    </w:rPr>
  </w:style>
  <w:style w:type="paragraph" w:styleId="26">
    <w:name w:val="toc 6"/>
    <w:basedOn w:val="1"/>
    <w:next w:val="1"/>
    <w:semiHidden/>
    <w:qFormat/>
    <w:uiPriority w:val="0"/>
    <w:pPr>
      <w:ind w:left="1050"/>
      <w:jc w:val="left"/>
    </w:pPr>
    <w:rPr>
      <w:sz w:val="18"/>
      <w:szCs w:val="18"/>
    </w:rPr>
  </w:style>
  <w:style w:type="paragraph" w:styleId="27">
    <w:name w:val="Body Text Indent 3"/>
    <w:basedOn w:val="1"/>
    <w:qFormat/>
    <w:uiPriority w:val="0"/>
    <w:pPr>
      <w:spacing w:line="500" w:lineRule="exact"/>
      <w:ind w:left="511" w:hanging="511" w:hangingChars="213"/>
    </w:pPr>
    <w:rPr>
      <w:rFonts w:ascii="Times New Roman" w:hAnsi="Times New Roman" w:eastAsia="宋体" w:cs="Times New Roman"/>
      <w:sz w:val="24"/>
    </w:rPr>
  </w:style>
  <w:style w:type="paragraph" w:styleId="28">
    <w:name w:val="toc 2"/>
    <w:basedOn w:val="1"/>
    <w:next w:val="1"/>
    <w:qFormat/>
    <w:uiPriority w:val="39"/>
    <w:pPr>
      <w:ind w:left="420" w:leftChars="200"/>
    </w:pPr>
    <w:rPr>
      <w:rFonts w:ascii="Times New Roman" w:hAnsi="Times New Roman" w:eastAsia="宋体" w:cs="Times New Roman"/>
    </w:rPr>
  </w:style>
  <w:style w:type="paragraph" w:styleId="29">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30">
    <w:name w:val="Title"/>
    <w:basedOn w:val="1"/>
    <w:qFormat/>
    <w:uiPriority w:val="10"/>
    <w:pPr>
      <w:spacing w:before="240" w:after="60"/>
      <w:jc w:val="center"/>
      <w:outlineLvl w:val="0"/>
    </w:pPr>
    <w:rPr>
      <w:rFonts w:ascii="Arial" w:hAnsi="Arial" w:cs="Times New Roman"/>
      <w:b/>
      <w:bCs/>
      <w:sz w:val="32"/>
      <w:szCs w:val="32"/>
      <w:lang w:val="zh-CN"/>
    </w:rPr>
  </w:style>
  <w:style w:type="paragraph" w:styleId="31">
    <w:name w:val="annotation subject"/>
    <w:basedOn w:val="11"/>
    <w:next w:val="11"/>
    <w:qFormat/>
    <w:uiPriority w:val="0"/>
    <w:rPr>
      <w:rFonts w:ascii="Times New Roman" w:hAnsi="Times New Roman" w:eastAsia="宋体" w:cs="Times New Roman"/>
      <w:b/>
      <w:bCs/>
    </w:rPr>
  </w:style>
  <w:style w:type="paragraph" w:styleId="32">
    <w:name w:val="Body Text First Indent 2"/>
    <w:basedOn w:val="14"/>
    <w:link w:val="52"/>
    <w:unhideWhenUsed/>
    <w:qFormat/>
    <w:uiPriority w:val="99"/>
    <w:pPr>
      <w:spacing w:after="120"/>
      <w:ind w:left="420" w:leftChars="200" w:firstLine="420" w:firstLineChars="200"/>
    </w:pPr>
    <w:rPr>
      <w:sz w:val="21"/>
    </w:rPr>
  </w:style>
  <w:style w:type="table" w:styleId="34">
    <w:name w:val="Table Grid"/>
    <w:basedOn w:val="3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rFonts w:ascii="Times New Roman" w:hAnsi="Times New Roman" w:eastAsia="宋体" w:cs="Times New Roman"/>
      <w:b/>
      <w:bCs/>
    </w:rPr>
  </w:style>
  <w:style w:type="character" w:styleId="37">
    <w:name w:val="page number"/>
    <w:qFormat/>
    <w:uiPriority w:val="0"/>
    <w:rPr>
      <w:rFonts w:ascii="Times New Roman" w:hAnsi="Times New Roman" w:eastAsia="宋体" w:cs="Times New Roman"/>
    </w:rPr>
  </w:style>
  <w:style w:type="character" w:styleId="38">
    <w:name w:val="Hyperlink"/>
    <w:basedOn w:val="35"/>
    <w:qFormat/>
    <w:uiPriority w:val="99"/>
    <w:rPr>
      <w:rFonts w:ascii="Times New Roman" w:hAnsi="Times New Roman" w:eastAsia="宋体" w:cs="Times New Roman"/>
      <w:color w:val="000000"/>
      <w:sz w:val="20"/>
      <w:szCs w:val="20"/>
      <w:u w:val="none"/>
    </w:rPr>
  </w:style>
  <w:style w:type="character" w:styleId="39">
    <w:name w:val="annotation reference"/>
    <w:qFormat/>
    <w:uiPriority w:val="0"/>
    <w:rPr>
      <w:rFonts w:ascii="Times New Roman" w:hAnsi="Times New Roman" w:eastAsia="宋体" w:cs="Times New Roman"/>
      <w:sz w:val="21"/>
      <w:szCs w:val="21"/>
    </w:rPr>
  </w:style>
  <w:style w:type="character" w:customStyle="1" w:styleId="40">
    <w:name w:val="标题 1 Char"/>
    <w:link w:val="3"/>
    <w:qFormat/>
    <w:locked/>
    <w:uiPriority w:val="0"/>
    <w:rPr>
      <w:rFonts w:ascii="楷体_GB2312" w:eastAsia="楷体_GB2312"/>
      <w:b/>
      <w:bCs/>
      <w:kern w:val="2"/>
      <w:sz w:val="21"/>
      <w:szCs w:val="24"/>
    </w:rPr>
  </w:style>
  <w:style w:type="character" w:customStyle="1" w:styleId="41">
    <w:name w:val="标题 2 Char"/>
    <w:link w:val="4"/>
    <w:qFormat/>
    <w:uiPriority w:val="0"/>
    <w:rPr>
      <w:rFonts w:ascii="Arial" w:hAnsi="Arial" w:eastAsia="黑体" w:cs="Times New Roman"/>
      <w:b/>
      <w:bCs/>
      <w:sz w:val="32"/>
      <w:szCs w:val="32"/>
    </w:rPr>
  </w:style>
  <w:style w:type="character" w:customStyle="1" w:styleId="42">
    <w:name w:val="标题 3 Char"/>
    <w:link w:val="5"/>
    <w:qFormat/>
    <w:uiPriority w:val="0"/>
    <w:rPr>
      <w:rFonts w:ascii="Times New Roman" w:hAnsi="Times New Roman" w:eastAsia="宋体" w:cs="Times New Roman"/>
      <w:b/>
      <w:bCs/>
      <w:kern w:val="2"/>
      <w:sz w:val="32"/>
      <w:szCs w:val="32"/>
      <w:lang w:bidi="ar-SA"/>
    </w:rPr>
  </w:style>
  <w:style w:type="character" w:customStyle="1" w:styleId="43">
    <w:name w:val="标题 4 Char"/>
    <w:link w:val="6"/>
    <w:qFormat/>
    <w:uiPriority w:val="0"/>
    <w:rPr>
      <w:rFonts w:ascii="Cambria" w:hAnsi="Cambria" w:eastAsia="宋体" w:cs="Times New Roman"/>
      <w:b/>
      <w:bCs/>
      <w:kern w:val="2"/>
      <w:sz w:val="28"/>
      <w:szCs w:val="28"/>
      <w:lang w:bidi="ar-SA"/>
    </w:rPr>
  </w:style>
  <w:style w:type="character" w:customStyle="1" w:styleId="44">
    <w:name w:val="标题 5 Char"/>
    <w:link w:val="7"/>
    <w:qFormat/>
    <w:uiPriority w:val="0"/>
    <w:rPr>
      <w:rFonts w:ascii="Times New Roman" w:hAnsi="Times New Roman" w:eastAsia="宋体" w:cs="Times New Roman"/>
      <w:b/>
      <w:bCs/>
      <w:kern w:val="2"/>
      <w:sz w:val="28"/>
      <w:szCs w:val="28"/>
      <w:lang w:val="zh-CN"/>
    </w:rPr>
  </w:style>
  <w:style w:type="character" w:customStyle="1" w:styleId="45">
    <w:name w:val="正文缩进 Char"/>
    <w:link w:val="2"/>
    <w:qFormat/>
    <w:uiPriority w:val="0"/>
    <w:rPr>
      <w:rFonts w:ascii="Times New Roman" w:hAnsi="Times New Roman" w:eastAsia="宋体" w:cs="Times New Roman"/>
      <w:sz w:val="21"/>
      <w:lang w:val="en-US" w:eastAsia="zh-CN" w:bidi="ar-SA"/>
    </w:rPr>
  </w:style>
  <w:style w:type="character" w:customStyle="1" w:styleId="46">
    <w:name w:val="样式 正文缩进 + 首行缩进:  2 字符 Char"/>
    <w:link w:val="8"/>
    <w:qFormat/>
    <w:uiPriority w:val="0"/>
    <w:rPr>
      <w:kern w:val="2"/>
      <w:sz w:val="24"/>
      <w:lang w:val="zh-CN"/>
    </w:rPr>
  </w:style>
  <w:style w:type="character" w:customStyle="1" w:styleId="47">
    <w:name w:val="正文文本 Char"/>
    <w:link w:val="12"/>
    <w:qFormat/>
    <w:uiPriority w:val="0"/>
    <w:rPr>
      <w:rFonts w:ascii="Times New Roman" w:hAnsi="Times New Roman" w:eastAsia="宋体" w:cs="Times New Roman"/>
      <w:kern w:val="2"/>
      <w:sz w:val="21"/>
      <w:szCs w:val="24"/>
    </w:rPr>
  </w:style>
  <w:style w:type="character" w:customStyle="1" w:styleId="48">
    <w:name w:val="正文首行缩进 Char1"/>
    <w:link w:val="13"/>
    <w:qFormat/>
    <w:uiPriority w:val="0"/>
    <w:rPr>
      <w:rFonts w:ascii="Times New Roman" w:hAnsi="Times New Roman" w:eastAsia="宋体" w:cs="Times New Roman"/>
      <w:kern w:val="2"/>
      <w:sz w:val="21"/>
      <w:szCs w:val="24"/>
    </w:rPr>
  </w:style>
  <w:style w:type="character" w:customStyle="1" w:styleId="49">
    <w:name w:val="正文文本缩进 Char"/>
    <w:link w:val="14"/>
    <w:qFormat/>
    <w:uiPriority w:val="0"/>
    <w:rPr>
      <w:rFonts w:ascii="Times New Roman" w:hAnsi="Times New Roman" w:eastAsia="宋体" w:cs="Times New Roman"/>
      <w:kern w:val="2"/>
      <w:sz w:val="24"/>
      <w:szCs w:val="24"/>
    </w:rPr>
  </w:style>
  <w:style w:type="character" w:customStyle="1" w:styleId="50">
    <w:name w:val="纯文本 Char1"/>
    <w:link w:val="17"/>
    <w:qFormat/>
    <w:uiPriority w:val="0"/>
    <w:rPr>
      <w:rFonts w:ascii="宋体" w:hAnsi="Courier New" w:eastAsia="宋体" w:cs="Times New Roman"/>
      <w:sz w:val="21"/>
      <w:szCs w:val="21"/>
      <w:lang w:val="en-US" w:eastAsia="zh-CN" w:bidi="ar-SA"/>
    </w:rPr>
  </w:style>
  <w:style w:type="character" w:customStyle="1" w:styleId="51">
    <w:name w:val="页脚 Char"/>
    <w:link w:val="21"/>
    <w:qFormat/>
    <w:uiPriority w:val="0"/>
    <w:rPr>
      <w:rFonts w:ascii="Times New Roman" w:hAnsi="Times New Roman" w:eastAsia="宋体" w:cs="Times New Roman"/>
      <w:kern w:val="2"/>
      <w:sz w:val="18"/>
      <w:szCs w:val="18"/>
    </w:rPr>
  </w:style>
  <w:style w:type="character" w:customStyle="1" w:styleId="52">
    <w:name w:val="正文首行缩进 2 Char"/>
    <w:link w:val="32"/>
    <w:semiHidden/>
    <w:qFormat/>
    <w:uiPriority w:val="99"/>
    <w:rPr>
      <w:rFonts w:ascii="Times New Roman" w:hAnsi="Times New Roman" w:eastAsia="宋体" w:cs="Times New Roman"/>
      <w:kern w:val="2"/>
      <w:sz w:val="21"/>
      <w:szCs w:val="24"/>
    </w:rPr>
  </w:style>
  <w:style w:type="paragraph" w:customStyle="1" w:styleId="53">
    <w:name w:val="[Normal]"/>
    <w:qFormat/>
    <w:uiPriority w:val="0"/>
    <w:rPr>
      <w:rFonts w:ascii="宋体" w:hAnsi="宋体" w:eastAsia="宋体" w:cs="Times New Roman"/>
      <w:sz w:val="24"/>
      <w:szCs w:val="22"/>
      <w:lang w:val="zh-CN" w:eastAsia="zh-CN" w:bidi="ar-SA"/>
    </w:rPr>
  </w:style>
  <w:style w:type="character" w:customStyle="1" w:styleId="54">
    <w:name w:val="哈哈正文 Char"/>
    <w:link w:val="55"/>
    <w:qFormat/>
    <w:uiPriority w:val="0"/>
    <w:rPr>
      <w:rFonts w:ascii="宋体" w:hAnsi="宋体" w:eastAsia="宋体" w:cs="宋体"/>
      <w:kern w:val="2"/>
      <w:sz w:val="24"/>
      <w:lang w:val="en-US" w:eastAsia="zh-CN" w:bidi="ar-SA"/>
    </w:rPr>
  </w:style>
  <w:style w:type="paragraph" w:customStyle="1" w:styleId="55">
    <w:name w:val="哈哈正文"/>
    <w:basedOn w:val="1"/>
    <w:link w:val="54"/>
    <w:qFormat/>
    <w:uiPriority w:val="0"/>
    <w:pPr>
      <w:spacing w:line="360" w:lineRule="auto"/>
      <w:ind w:firstLine="200" w:firstLineChars="200"/>
    </w:pPr>
    <w:rPr>
      <w:rFonts w:ascii="宋体" w:hAnsi="宋体" w:cs="宋体"/>
      <w:sz w:val="24"/>
      <w:szCs w:val="20"/>
    </w:rPr>
  </w:style>
  <w:style w:type="character" w:customStyle="1" w:styleId="56">
    <w:name w:val="正文文本 Char2"/>
    <w:qFormat/>
    <w:uiPriority w:val="0"/>
    <w:rPr>
      <w:kern w:val="2"/>
      <w:sz w:val="21"/>
      <w:szCs w:val="24"/>
    </w:rPr>
  </w:style>
  <w:style w:type="character" w:customStyle="1" w:styleId="57">
    <w:name w:val="文档正文 Char"/>
    <w:link w:val="58"/>
    <w:qFormat/>
    <w:uiPriority w:val="0"/>
    <w:rPr>
      <w:rFonts w:ascii="Tahoma" w:hAnsi="Tahoma" w:eastAsia="仿宋_GB2312" w:cs="Times New Roman"/>
      <w:sz w:val="28"/>
      <w:lang w:val="en-US" w:eastAsia="zh-CN" w:bidi="ar-SA"/>
    </w:rPr>
  </w:style>
  <w:style w:type="paragraph" w:customStyle="1" w:styleId="58">
    <w:name w:val="文档正文"/>
    <w:basedOn w:val="1"/>
    <w:link w:val="57"/>
    <w:qFormat/>
    <w:uiPriority w:val="0"/>
    <w:pPr>
      <w:spacing w:line="360" w:lineRule="auto"/>
      <w:ind w:firstLine="480" w:firstLineChars="200"/>
    </w:pPr>
    <w:rPr>
      <w:rFonts w:ascii="Tahoma" w:hAnsi="Tahoma" w:eastAsia="仿宋_GB2312"/>
      <w:kern w:val="0"/>
      <w:sz w:val="28"/>
      <w:szCs w:val="20"/>
    </w:rPr>
  </w:style>
  <w:style w:type="character" w:customStyle="1" w:styleId="59">
    <w:name w:val="Char Char Char"/>
    <w:qFormat/>
    <w:uiPriority w:val="0"/>
    <w:rPr>
      <w:rFonts w:ascii="宋体" w:hAnsi="Courier New" w:eastAsia="宋体" w:cs="Times New Roman"/>
      <w:sz w:val="21"/>
      <w:szCs w:val="21"/>
      <w:lang w:val="en-US" w:eastAsia="zh-CN" w:bidi="ar-SA"/>
    </w:rPr>
  </w:style>
  <w:style w:type="character" w:customStyle="1" w:styleId="60">
    <w:name w:val="Char Char2"/>
    <w:qFormat/>
    <w:uiPriority w:val="0"/>
    <w:rPr>
      <w:rFonts w:ascii="宋体" w:hAnsi="Courier New" w:eastAsia="宋体" w:cs="Times New Roman"/>
      <w:kern w:val="2"/>
      <w:sz w:val="21"/>
      <w:lang w:val="en-US" w:eastAsia="zh-CN"/>
    </w:rPr>
  </w:style>
  <w:style w:type="character" w:customStyle="1" w:styleId="61">
    <w:name w:val="unnamed51"/>
    <w:qFormat/>
    <w:uiPriority w:val="0"/>
    <w:rPr>
      <w:rFonts w:ascii="Times New Roman" w:hAnsi="Times New Roman" w:eastAsia="宋体" w:cs="Times New Roman"/>
      <w:sz w:val="22"/>
      <w:szCs w:val="22"/>
    </w:rPr>
  </w:style>
  <w:style w:type="character" w:customStyle="1" w:styleId="62">
    <w:name w:val="列出段落 Char"/>
    <w:link w:val="63"/>
    <w:qFormat/>
    <w:uiPriority w:val="0"/>
    <w:rPr>
      <w:rFonts w:ascii="Times New Roman" w:hAnsi="Times New Roman" w:eastAsia="宋体" w:cs="Times New Roman"/>
      <w:kern w:val="2"/>
      <w:sz w:val="21"/>
      <w:szCs w:val="24"/>
    </w:rPr>
  </w:style>
  <w:style w:type="paragraph" w:styleId="63">
    <w:name w:val="List Paragraph"/>
    <w:basedOn w:val="1"/>
    <w:link w:val="62"/>
    <w:qFormat/>
    <w:uiPriority w:val="0"/>
    <w:pPr>
      <w:ind w:firstLine="420" w:firstLineChars="200"/>
    </w:pPr>
  </w:style>
  <w:style w:type="character" w:customStyle="1" w:styleId="64">
    <w:name w:val="area_1"/>
    <w:qFormat/>
    <w:uiPriority w:val="0"/>
    <w:rPr>
      <w:rFonts w:ascii="宋体" w:hAnsi="宋体"/>
      <w:sz w:val="24"/>
    </w:rPr>
  </w:style>
  <w:style w:type="character" w:customStyle="1" w:styleId="65">
    <w:name w:val="Texte Char Char"/>
    <w:qFormat/>
    <w:uiPriority w:val="0"/>
    <w:rPr>
      <w:rFonts w:ascii="宋体" w:hAnsi="Courier New" w:eastAsia="宋体" w:cs="Times New Roman"/>
      <w:sz w:val="21"/>
      <w:szCs w:val="21"/>
      <w:lang w:val="en-US" w:eastAsia="zh-CN" w:bidi="ar-SA"/>
    </w:rPr>
  </w:style>
  <w:style w:type="character" w:customStyle="1" w:styleId="66">
    <w:name w:val="纯文本 Char"/>
    <w:qFormat/>
    <w:uiPriority w:val="0"/>
    <w:rPr>
      <w:rFonts w:ascii="宋体" w:hAnsi="Courier New" w:eastAsia="宋体"/>
      <w:sz w:val="21"/>
      <w:szCs w:val="21"/>
      <w:lang w:val="en-US" w:eastAsia="zh-CN" w:bidi="ar-SA"/>
    </w:rPr>
  </w:style>
  <w:style w:type="character" w:customStyle="1" w:styleId="67">
    <w:name w:val="正文首行缩进 Char"/>
    <w:link w:val="68"/>
    <w:qFormat/>
    <w:uiPriority w:val="0"/>
    <w:rPr>
      <w:rFonts w:ascii="Times New Roman" w:hAnsi="Times New Roman" w:eastAsia="宋体" w:cs="Times New Roman"/>
      <w:kern w:val="2"/>
      <w:sz w:val="21"/>
      <w:szCs w:val="24"/>
    </w:rPr>
  </w:style>
  <w:style w:type="paragraph" w:customStyle="1" w:styleId="68">
    <w:name w:val="_Style 60"/>
    <w:basedOn w:val="12"/>
    <w:next w:val="13"/>
    <w:link w:val="67"/>
    <w:qFormat/>
    <w:uiPriority w:val="0"/>
    <w:pPr>
      <w:ind w:firstLine="420" w:firstLineChars="100"/>
    </w:pPr>
  </w:style>
  <w:style w:type="character" w:customStyle="1" w:styleId="69">
    <w:name w:val="纯文本 Char2"/>
    <w:qFormat/>
    <w:uiPriority w:val="0"/>
    <w:rPr>
      <w:rFonts w:ascii="宋体,Verdana,Arial" w:hAnsi="Tahoma" w:eastAsia="宋体,Verdana,Arial" w:cs="Times New Roman"/>
      <w:sz w:val="21"/>
      <w:szCs w:val="21"/>
      <w:lang w:val="en-US" w:eastAsia="zh-CN" w:bidi="ar-SA"/>
    </w:rPr>
  </w:style>
  <w:style w:type="character" w:customStyle="1" w:styleId="70">
    <w:name w:val="style21"/>
    <w:qFormat/>
    <w:uiPriority w:val="0"/>
    <w:rPr>
      <w:rFonts w:ascii="Times New Roman" w:hAnsi="Times New Roman" w:eastAsia="宋体" w:cs="Times New Roman"/>
      <w:sz w:val="15"/>
      <w:szCs w:val="15"/>
    </w:rPr>
  </w:style>
  <w:style w:type="character" w:customStyle="1" w:styleId="71">
    <w:name w:val="List Paragraph Char"/>
    <w:link w:val="72"/>
    <w:qFormat/>
    <w:uiPriority w:val="0"/>
    <w:rPr>
      <w:rFonts w:ascii="Calibri" w:hAnsi="Calibri" w:eastAsia="宋体" w:cs="Times New Roman"/>
      <w:kern w:val="2"/>
      <w:sz w:val="21"/>
      <w:szCs w:val="22"/>
      <w:lang w:val="en-US" w:eastAsia="zh-CN" w:bidi="ar-SA"/>
    </w:rPr>
  </w:style>
  <w:style w:type="paragraph" w:customStyle="1" w:styleId="72">
    <w:name w:val="List Paragraph1"/>
    <w:basedOn w:val="1"/>
    <w:link w:val="71"/>
    <w:qFormat/>
    <w:uiPriority w:val="0"/>
    <w:pPr>
      <w:ind w:firstLine="420" w:firstLineChars="200"/>
    </w:pPr>
    <w:rPr>
      <w:rFonts w:ascii="Calibri" w:hAnsi="Calibri"/>
      <w:szCs w:val="22"/>
    </w:rPr>
  </w:style>
  <w:style w:type="character" w:customStyle="1" w:styleId="73">
    <w:name w:val="样式6 列表并列 Char"/>
    <w:link w:val="74"/>
    <w:qFormat/>
    <w:uiPriority w:val="0"/>
    <w:rPr>
      <w:rFonts w:ascii="Arial" w:hAnsi="Arial"/>
      <w:kern w:val="21"/>
      <w:sz w:val="21"/>
      <w:szCs w:val="24"/>
      <w:lang w:val="en-US" w:eastAsia="zh-CN" w:bidi="ar-SA"/>
    </w:rPr>
  </w:style>
  <w:style w:type="paragraph" w:customStyle="1" w:styleId="74">
    <w:name w:val="样式6 列表并列"/>
    <w:link w:val="73"/>
    <w:qFormat/>
    <w:uiPriority w:val="0"/>
    <w:pPr>
      <w:widowControl w:val="0"/>
      <w:numPr>
        <w:ilvl w:val="0"/>
        <w:numId w:val="1"/>
      </w:numPr>
      <w:spacing w:before="40" w:after="40" w:line="240" w:lineRule="atLeast"/>
      <w:ind w:left="840" w:hanging="420"/>
    </w:pPr>
    <w:rPr>
      <w:rFonts w:ascii="Arial" w:hAnsi="Arial" w:eastAsia="宋体" w:cs="Times New Roman"/>
      <w:kern w:val="21"/>
      <w:sz w:val="21"/>
      <w:szCs w:val="24"/>
      <w:lang w:val="en-US" w:eastAsia="zh-CN" w:bidi="ar-SA"/>
    </w:rPr>
  </w:style>
  <w:style w:type="character" w:customStyle="1" w:styleId="75">
    <w:name w:val="正文文本 字符1"/>
    <w:qFormat/>
    <w:uiPriority w:val="0"/>
    <w:rPr>
      <w:rFonts w:eastAsia="宋体"/>
      <w:kern w:val="2"/>
      <w:sz w:val="21"/>
      <w:szCs w:val="24"/>
      <w:lang w:val="en-US" w:eastAsia="zh-CN" w:bidi="ar-SA"/>
    </w:rPr>
  </w:style>
  <w:style w:type="paragraph" w:customStyle="1" w:styleId="76">
    <w:name w:val="xl55"/>
    <w:basedOn w:val="1"/>
    <w:qFormat/>
    <w:uiPriority w:val="0"/>
    <w:pPr>
      <w:widowControl/>
      <w:spacing w:before="100" w:beforeAutospacing="1" w:after="100" w:afterAutospacing="1"/>
      <w:jc w:val="center"/>
      <w:textAlignment w:val="center"/>
    </w:pPr>
    <w:rPr>
      <w:rFonts w:ascii="Arial Unicode MS" w:hAnsi="Arial Unicode MS" w:eastAsia="宋体" w:cs="Times New Roman"/>
      <w:kern w:val="0"/>
      <w:sz w:val="24"/>
      <w:szCs w:val="20"/>
    </w:rPr>
  </w:style>
  <w:style w:type="paragraph" w:customStyle="1" w:styleId="77">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Times New Roman"/>
      <w:kern w:val="0"/>
      <w:sz w:val="24"/>
    </w:rPr>
  </w:style>
  <w:style w:type="paragraph" w:customStyle="1" w:styleId="78">
    <w:name w:val=" Char Char7 Char"/>
    <w:basedOn w:val="1"/>
    <w:qFormat/>
    <w:uiPriority w:val="0"/>
    <w:pPr>
      <w:tabs>
        <w:tab w:val="left" w:pos="425"/>
      </w:tabs>
      <w:ind w:left="420" w:leftChars="200" w:firstLine="270" w:firstLineChars="150"/>
    </w:pPr>
    <w:rPr>
      <w:rFonts w:ascii="Times New Roman" w:hAnsi="Times New Roman" w:eastAsia="宋体" w:cs="Times New Roman"/>
    </w:rPr>
  </w:style>
  <w:style w:type="paragraph" w:customStyle="1" w:styleId="79">
    <w:name w:val="_Style 14"/>
    <w:basedOn w:val="12"/>
    <w:next w:val="13"/>
    <w:qFormat/>
    <w:uiPriority w:val="0"/>
    <w:pPr>
      <w:ind w:firstLine="420" w:firstLineChars="100"/>
    </w:pPr>
    <w:rPr>
      <w:rFonts w:ascii="Calibri" w:hAnsi="Calibri"/>
      <w:lang w:val="en-US" w:eastAsia="zh-CN"/>
    </w:rPr>
  </w:style>
  <w:style w:type="paragraph" w:customStyle="1" w:styleId="80">
    <w:name w:val="_Style 44"/>
    <w:basedOn w:val="2"/>
    <w:qFormat/>
    <w:uiPriority w:val="0"/>
    <w:pPr>
      <w:framePr w:wrap="around" w:vAnchor="text" w:hAnchor="text" w:y="1"/>
      <w:adjustRightInd/>
      <w:spacing w:line="360" w:lineRule="auto"/>
      <w:ind w:firstLine="200" w:firstLineChars="200"/>
      <w:textAlignment w:val="auto"/>
    </w:pPr>
    <w:rPr>
      <w:rFonts w:ascii="Times New Roman" w:hAnsi="Times New Roman" w:eastAsia="宋体" w:cs="Times New Roman"/>
      <w:kern w:val="2"/>
      <w:sz w:val="24"/>
      <w:szCs w:val="24"/>
    </w:rPr>
  </w:style>
  <w:style w:type="paragraph" w:customStyle="1" w:styleId="81">
    <w:name w:val="_Style 61"/>
    <w:basedOn w:val="12"/>
    <w:next w:val="13"/>
    <w:qFormat/>
    <w:uiPriority w:val="0"/>
    <w:pPr>
      <w:ind w:firstLine="420" w:firstLineChars="100"/>
    </w:pPr>
  </w:style>
  <w:style w:type="paragraph" w:customStyle="1" w:styleId="82">
    <w:name w:val=" Char Char3"/>
    <w:basedOn w:val="1"/>
    <w:qFormat/>
    <w:uiPriority w:val="0"/>
    <w:rPr>
      <w:rFonts w:ascii="Tahoma" w:hAnsi="Tahoma"/>
      <w:sz w:val="24"/>
      <w:szCs w:val="20"/>
    </w:rPr>
  </w:style>
  <w:style w:type="paragraph" w:customStyle="1" w:styleId="83">
    <w:name w:val="style3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4">
    <w:name w:val="样式 首行缩进:  2 字符"/>
    <w:basedOn w:val="1"/>
    <w:qFormat/>
    <w:uiPriority w:val="0"/>
    <w:pPr>
      <w:spacing w:line="360" w:lineRule="auto"/>
      <w:ind w:firstLine="480" w:firstLineChars="200"/>
    </w:pPr>
    <w:rPr>
      <w:rFonts w:ascii="宋体" w:hAnsi="宋体" w:cs="宋体"/>
      <w:color w:val="000000"/>
      <w:sz w:val="24"/>
    </w:rPr>
  </w:style>
  <w:style w:type="paragraph" w:customStyle="1" w:styleId="85">
    <w:name w:val="正文1"/>
    <w:basedOn w:val="1"/>
    <w:qFormat/>
    <w:uiPriority w:val="0"/>
    <w:pPr>
      <w:adjustRightInd w:val="0"/>
      <w:spacing w:after="60" w:line="360" w:lineRule="atLeast"/>
      <w:ind w:firstLine="567"/>
      <w:jc w:val="left"/>
      <w:textAlignment w:val="baseline"/>
    </w:pPr>
    <w:rPr>
      <w:rFonts w:ascii="宋体" w:hAnsi="Times New Roman" w:eastAsia="宋体" w:cs="Times New Roman"/>
      <w:kern w:val="0"/>
      <w:sz w:val="28"/>
      <w:szCs w:val="20"/>
    </w:rPr>
  </w:style>
  <w:style w:type="paragraph" w:customStyle="1" w:styleId="86">
    <w:name w:val="样式 Arial 小四 首行缩进:  0.85 厘米"/>
    <w:basedOn w:val="1"/>
    <w:qFormat/>
    <w:uiPriority w:val="0"/>
    <w:pPr>
      <w:spacing w:line="360" w:lineRule="auto"/>
      <w:ind w:firstLine="482"/>
    </w:pPr>
    <w:rPr>
      <w:rFonts w:ascii="Arial" w:hAnsi="Arial" w:eastAsia="宋体" w:cs="宋体"/>
      <w:sz w:val="24"/>
      <w:szCs w:val="20"/>
    </w:rPr>
  </w:style>
  <w:style w:type="paragraph" w:customStyle="1" w:styleId="87">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88">
    <w:name w:val="Char Char"/>
    <w:basedOn w:val="1"/>
    <w:qFormat/>
    <w:uiPriority w:val="0"/>
    <w:rPr>
      <w:rFonts w:ascii="仿宋_GB2312" w:hAnsi="Times New Roman" w:eastAsia="仿宋_GB2312" w:cs="Times New Roman"/>
      <w:b/>
      <w:sz w:val="32"/>
      <w:szCs w:val="32"/>
    </w:rPr>
  </w:style>
  <w:style w:type="paragraph" w:customStyle="1" w:styleId="89">
    <w:name w:val="正文(首行缩进)"/>
    <w:basedOn w:val="1"/>
    <w:qFormat/>
    <w:uiPriority w:val="0"/>
    <w:pPr>
      <w:spacing w:line="360" w:lineRule="auto"/>
      <w:ind w:firstLine="200" w:firstLineChars="200"/>
    </w:pPr>
    <w:rPr>
      <w:rFonts w:ascii="Arial Narrow" w:hAnsi="Arial Narrow" w:eastAsia="楷体_GB2312"/>
      <w:sz w:val="24"/>
    </w:rPr>
  </w:style>
  <w:style w:type="paragraph" w:customStyle="1" w:styleId="90">
    <w:name w:val=" Char Char1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91">
    <w:name w:val="正文－恩普"/>
    <w:basedOn w:val="2"/>
    <w:qFormat/>
    <w:uiPriority w:val="0"/>
    <w:pPr>
      <w:framePr w:wrap="around" w:vAnchor="text" w:hAnchor="text" w:y="1"/>
      <w:adjustRightInd/>
      <w:spacing w:line="360" w:lineRule="auto"/>
      <w:ind w:firstLine="200" w:firstLineChars="200"/>
      <w:textAlignment w:val="auto"/>
    </w:pPr>
    <w:rPr>
      <w:rFonts w:ascii="Times New Roman" w:hAnsi="Times New Roman" w:eastAsia="宋体" w:cs="Times New Roman"/>
      <w:kern w:val="2"/>
      <w:sz w:val="24"/>
      <w:szCs w:val="24"/>
    </w:rPr>
  </w:style>
  <w:style w:type="paragraph" w:customStyle="1" w:styleId="92">
    <w:name w:val="Char Char Char Char Char Char Char"/>
    <w:basedOn w:val="1"/>
    <w:qFormat/>
    <w:uiPriority w:val="0"/>
    <w:rPr>
      <w:rFonts w:ascii="仿宋_GB2312" w:hAnsi="Times New Roman" w:eastAsia="仿宋_GB2312" w:cs="Times New Roman"/>
      <w:b/>
      <w:sz w:val="32"/>
      <w:szCs w:val="32"/>
    </w:rPr>
  </w:style>
  <w:style w:type="paragraph" w:customStyle="1" w:styleId="93">
    <w:name w:val="Char Char Char Char1"/>
    <w:basedOn w:val="1"/>
    <w:qFormat/>
    <w:uiPriority w:val="0"/>
    <w:rPr>
      <w:rFonts w:ascii="Tahoma" w:hAnsi="Tahoma" w:eastAsia="宋体" w:cs="Times New Roman"/>
      <w:sz w:val="24"/>
      <w:szCs w:val="20"/>
    </w:rPr>
  </w:style>
  <w:style w:type="paragraph" w:customStyle="1" w:styleId="94">
    <w:name w:val="Char Char Char Char Char Char Char Char Char Char Char Char Char1"/>
    <w:basedOn w:val="1"/>
    <w:qFormat/>
    <w:uiPriority w:val="0"/>
    <w:rPr>
      <w:rFonts w:ascii="Tahoma" w:hAnsi="Tahoma" w:eastAsia="宋体" w:cs="Times New Roman"/>
      <w:sz w:val="24"/>
      <w:szCs w:val="20"/>
    </w:rPr>
  </w:style>
  <w:style w:type="paragraph" w:customStyle="1" w:styleId="95">
    <w:name w:val="_Style 93"/>
    <w:qFormat/>
    <w:uiPriority w:val="0"/>
    <w:rPr>
      <w:rFonts w:ascii="Times New Roman" w:hAnsi="Times New Roman" w:eastAsia="宋体" w:cs="Times New Roman"/>
      <w:kern w:val="2"/>
      <w:sz w:val="21"/>
      <w:szCs w:val="24"/>
      <w:lang w:val="en-US" w:eastAsia="zh-CN" w:bidi="ar-SA"/>
    </w:rPr>
  </w:style>
  <w:style w:type="paragraph" w:customStyle="1" w:styleId="96">
    <w:name w:val=" Char Char Char Char Char Char Char"/>
    <w:basedOn w:val="1"/>
    <w:qFormat/>
    <w:uiPriority w:val="0"/>
    <w:rPr>
      <w:rFonts w:ascii="仿宋_GB2312" w:hAnsi="Times New Roman" w:eastAsia="仿宋_GB2312" w:cs="Times New Roman"/>
      <w:b/>
      <w:sz w:val="32"/>
      <w:szCs w:val="32"/>
    </w:rPr>
  </w:style>
  <w:style w:type="paragraph" w:customStyle="1" w:styleId="97">
    <w:name w:val="Table Paragraph"/>
    <w:basedOn w:val="1"/>
    <w:qFormat/>
    <w:uiPriority w:val="1"/>
    <w:rPr>
      <w:rFonts w:ascii="宋体" w:hAnsi="宋体" w:eastAsia="宋体" w:cs="宋体"/>
      <w:lang w:val="zh-CN" w:eastAsia="zh-CN" w:bidi="zh-CN"/>
    </w:rPr>
  </w:style>
  <w:style w:type="paragraph" w:customStyle="1" w:styleId="98">
    <w:name w:val=" Char Char Char Char Char Char Char Char Char Char Char Char Char"/>
    <w:basedOn w:val="1"/>
    <w:qFormat/>
    <w:uiPriority w:val="0"/>
    <w:rPr>
      <w:rFonts w:ascii="Tahoma" w:hAnsi="Tahoma" w:eastAsia="宋体" w:cs="Times New Roman"/>
      <w:sz w:val="24"/>
      <w:szCs w:val="20"/>
    </w:rPr>
  </w:style>
  <w:style w:type="paragraph" w:customStyle="1" w:styleId="99">
    <w:name w:val="Default"/>
    <w:qFormat/>
    <w:uiPriority w:val="0"/>
    <w:pPr>
      <w:widowControl w:val="0"/>
      <w:autoSpaceDE w:val="0"/>
      <w:autoSpaceDN w:val="0"/>
      <w:adjustRightInd w:val="0"/>
    </w:pPr>
    <w:rPr>
      <w:rFonts w:ascii="仿宋_GB2312" w:hAnsi="Times New Roman" w:eastAsia="宋体" w:cs="仿宋_GB2312"/>
      <w:color w:val="000000"/>
      <w:sz w:val="24"/>
      <w:szCs w:val="24"/>
      <w:lang w:val="en-US" w:eastAsia="zh-CN" w:bidi="ar-SA"/>
    </w:rPr>
  </w:style>
  <w:style w:type="paragraph" w:customStyle="1" w:styleId="100">
    <w:name w:val="Char1 Char Char Char"/>
    <w:basedOn w:val="1"/>
    <w:qFormat/>
    <w:uiPriority w:val="0"/>
    <w:rPr>
      <w:rFonts w:ascii="Tahoma" w:hAnsi="Tahoma" w:eastAsia="宋体" w:cs="Times New Roman"/>
      <w:sz w:val="24"/>
      <w:szCs w:val="20"/>
    </w:rPr>
  </w:style>
  <w:style w:type="paragraph" w:customStyle="1" w:styleId="101">
    <w:name w:val="保留正文"/>
    <w:basedOn w:val="12"/>
    <w:qFormat/>
    <w:uiPriority w:val="0"/>
    <w:pPr>
      <w:keepNext/>
      <w:spacing w:after="160"/>
    </w:pPr>
    <w:rPr>
      <w:rFonts w:ascii="Times New Roman" w:hAnsi="Times New Roman" w:eastAsia="宋体" w:cs="Times New Roman"/>
    </w:rPr>
  </w:style>
  <w:style w:type="paragraph" w:customStyle="1" w:styleId="102">
    <w:name w:val="Char Char1 Char Char Char Char Char Char"/>
    <w:basedOn w:val="1"/>
    <w:qFormat/>
    <w:uiPriority w:val="0"/>
    <w:pPr>
      <w:widowControl/>
      <w:spacing w:after="160" w:line="240" w:lineRule="exact"/>
      <w:jc w:val="left"/>
    </w:pPr>
    <w:rPr>
      <w:rFonts w:ascii="宋体" w:hAnsi="宋体" w:eastAsia="宋体" w:cs="宋体"/>
      <w:kern w:val="0"/>
      <w:szCs w:val="20"/>
    </w:rPr>
  </w:style>
  <w:style w:type="paragraph" w:customStyle="1" w:styleId="103">
    <w:name w:val="Char Char Char Char"/>
    <w:basedOn w:val="10"/>
    <w:qFormat/>
    <w:uiPriority w:val="0"/>
    <w:rPr>
      <w:rFonts w:ascii="Tahoma" w:hAnsi="Tahoma" w:eastAsia="宋体" w:cs="Times New Roman"/>
      <w:sz w:val="24"/>
    </w:rPr>
  </w:style>
  <w:style w:type="paragraph" w:customStyle="1" w:styleId="104">
    <w:name w:val="简单回函地址"/>
    <w:basedOn w:val="1"/>
    <w:qFormat/>
    <w:uiPriority w:val="0"/>
    <w:rPr>
      <w:rFonts w:ascii="Times New Roman" w:hAnsi="Times New Roman" w:eastAsia="宋体" w:cs="Times New Roman"/>
    </w:rPr>
  </w:style>
  <w:style w:type="paragraph" w:customStyle="1" w:styleId="105">
    <w:name w:val="Char Char Char Char Char Char Char Char Char Char Char Char Char"/>
    <w:basedOn w:val="1"/>
    <w:qFormat/>
    <w:uiPriority w:val="0"/>
    <w:rPr>
      <w:rFonts w:ascii="Tahoma" w:hAnsi="Tahoma" w:eastAsia="宋体" w:cs="Times New Roman"/>
      <w:sz w:val="24"/>
      <w:szCs w:val="20"/>
    </w:rPr>
  </w:style>
  <w:style w:type="character" w:customStyle="1" w:styleId="106">
    <w:name w:val="font21"/>
    <w:qFormat/>
    <w:uiPriority w:val="0"/>
    <w:rPr>
      <w:rFonts w:hint="eastAsia" w:ascii="宋体" w:hAnsi="宋体" w:eastAsia="宋体" w:cs="宋体"/>
      <w:color w:val="000000"/>
      <w:sz w:val="18"/>
      <w:szCs w:val="18"/>
      <w:u w:val="none"/>
    </w:rPr>
  </w:style>
  <w:style w:type="paragraph" w:customStyle="1" w:styleId="107">
    <w:name w:val="自动更正"/>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8">
    <w:name w:val="font11"/>
    <w:basedOn w:val="35"/>
    <w:qFormat/>
    <w:uiPriority w:val="0"/>
    <w:rPr>
      <w:rFonts w:hint="default" w:ascii="Times New Roman" w:hAnsi="Times New Roman" w:eastAsia="宋体" w:cs="Times New Roman"/>
      <w:b/>
      <w:color w:val="000000"/>
      <w:sz w:val="21"/>
      <w:szCs w:val="21"/>
      <w:u w:val="none"/>
    </w:rPr>
  </w:style>
  <w:style w:type="character" w:customStyle="1" w:styleId="109">
    <w:name w:val="font41"/>
    <w:basedOn w:val="35"/>
    <w:qFormat/>
    <w:uiPriority w:val="0"/>
    <w:rPr>
      <w:rFonts w:hint="default" w:ascii="Times New Roman" w:hAnsi="Times New Roman" w:eastAsia="宋体" w:cs="Times New Roman"/>
      <w:color w:val="000000"/>
      <w:sz w:val="21"/>
      <w:szCs w:val="21"/>
      <w:u w:val="none"/>
    </w:rPr>
  </w:style>
  <w:style w:type="character" w:customStyle="1" w:styleId="110">
    <w:name w:val="font51"/>
    <w:basedOn w:val="35"/>
    <w:qFormat/>
    <w:uiPriority w:val="0"/>
    <w:rPr>
      <w:rFonts w:hint="eastAsia" w:ascii="宋体" w:hAnsi="宋体" w:eastAsia="宋体" w:cs="宋体"/>
      <w:color w:val="000000"/>
      <w:sz w:val="21"/>
      <w:szCs w:val="21"/>
      <w:u w:val="none"/>
    </w:rPr>
  </w:style>
  <w:style w:type="paragraph" w:customStyle="1" w:styleId="111">
    <w:name w:val="列出段落1"/>
    <w:basedOn w:val="1"/>
    <w:qFormat/>
    <w:uiPriority w:val="0"/>
    <w:pPr>
      <w:adjustRightInd/>
      <w:spacing w:line="360" w:lineRule="auto"/>
      <w:ind w:firstLine="420" w:firstLineChars="200"/>
    </w:pPr>
    <w:rPr>
      <w:rFonts w:ascii="Calibri" w:hAnsi="Calibri"/>
      <w:sz w:val="24"/>
      <w:szCs w:val="22"/>
    </w:rPr>
  </w:style>
  <w:style w:type="character" w:customStyle="1" w:styleId="112">
    <w:name w:val="font01"/>
    <w:basedOn w:val="35"/>
    <w:qFormat/>
    <w:uiPriority w:val="0"/>
    <w:rPr>
      <w:rFonts w:hint="eastAsia" w:ascii="宋体" w:hAnsi="宋体" w:eastAsia="宋体" w:cs="宋体"/>
      <w:color w:val="000000"/>
      <w:sz w:val="20"/>
      <w:szCs w:val="20"/>
      <w:u w:val="none"/>
    </w:rPr>
  </w:style>
  <w:style w:type="character" w:customStyle="1" w:styleId="113">
    <w:name w:val="font31"/>
    <w:basedOn w:val="35"/>
    <w:qFormat/>
    <w:uiPriority w:val="0"/>
    <w:rPr>
      <w:rFonts w:ascii="宋体-简" w:hAnsi="宋体-简" w:eastAsia="宋体-简" w:cs="宋体-简"/>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6228</Words>
  <Characters>6631</Characters>
  <Lines>211</Lines>
  <Paragraphs>59</Paragraphs>
  <TotalTime>42</TotalTime>
  <ScaleCrop>false</ScaleCrop>
  <LinksUpToDate>false</LinksUpToDate>
  <CharactersWithSpaces>6689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2022-08-23T11:04:00Z</dcterms:created>
  <dc:creator>LCMZX</dc:creator>
  <cp:lastModifiedBy>Karen金凯伦</cp:lastModifiedBy>
  <cp:lastPrinted>2021-03-18T13:28:00Z</cp:lastPrinted>
  <dcterms:modified xsi:type="dcterms:W3CDTF">2025-07-17T01:09:50Z</dcterms:modified>
  <dc:title>温州市政府采购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E28EC1B68CC49EE1D1426E68C76AA660_43</vt:lpwstr>
  </property>
  <property fmtid="{D5CDD505-2E9C-101B-9397-08002B2CF9AE}" pid="4" name="KSOTemplateDocerSaveRecord">
    <vt:lpwstr>eyJoZGlkIjoiMzEwNTM5NzYwMDRjMzkwZTVkZjY2ODkwMGIxNGU0OTUiLCJ1c2VySWQiOiIzMzgwMDY2MTcifQ==</vt:lpwstr>
  </property>
</Properties>
</file>